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00" w:right="1940" w:hanging="330"/>
        <w:spacing w:after="0" w:line="314" w:lineRule="auto"/>
        <w:tabs>
          <w:tab w:leader="none" w:pos="5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29,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4220" w:right="1520" w:hanging="4050"/>
        <w:spacing w:after="0" w:line="265" w:lineRule="auto"/>
        <w:tabs>
          <w:tab w:leader="none" w:pos="55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001-040866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10795</wp:posOffset>
            </wp:positionV>
            <wp:extent cx="221996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996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First Watch Restaurant Group,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88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60" w:type="dxa"/>
            <w:vAlign w:val="bottom"/>
          </w:tcPr>
          <w:p>
            <w:pPr>
              <w:spacing w:after="0"/>
              <w:rPr>
                <w:sz w:val="18"/>
                <w:szCs w:val="18"/>
                <w:color w:val="auto"/>
              </w:rPr>
            </w:pPr>
          </w:p>
        </w:tc>
        <w:tc>
          <w:tcPr>
            <w:tcW w:w="3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82-4271369</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tcPr>
          <w:p>
            <w:pPr>
              <w:spacing w:after="0"/>
              <w:rPr>
                <w:sz w:val="19"/>
                <w:szCs w:val="19"/>
                <w:color w:val="auto"/>
              </w:rPr>
            </w:pPr>
          </w:p>
        </w:tc>
        <w:tc>
          <w:tcPr>
            <w:tcW w:w="346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7120" w:type="dxa"/>
            <w:vAlign w:val="bottom"/>
            <w:gridSpan w:val="2"/>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8725 Pendery Place, Suite 201, Bradenton, FL 34201</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7120" w:type="dxa"/>
            <w:vAlign w:val="bottom"/>
            <w:gridSpan w:val="2"/>
          </w:tcPr>
          <w:p>
            <w:pPr>
              <w:jc w:val="center"/>
              <w:ind w:right="199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0" w:type="dxa"/>
            <w:vAlign w:val="bottom"/>
          </w:tcPr>
          <w:p>
            <w:pPr>
              <w:spacing w:after="0"/>
              <w:rPr>
                <w:sz w:val="1"/>
                <w:szCs w:val="1"/>
                <w:color w:val="auto"/>
              </w:rPr>
            </w:pPr>
          </w:p>
        </w:tc>
      </w:tr>
      <w:tr>
        <w:trPr>
          <w:trHeight w:val="384"/>
        </w:trPr>
        <w:tc>
          <w:tcPr>
            <w:tcW w:w="3880" w:type="dxa"/>
            <w:vAlign w:val="bottom"/>
          </w:tcPr>
          <w:p>
            <w:pPr>
              <w:spacing w:after="0"/>
              <w:rPr>
                <w:sz w:val="24"/>
                <w:szCs w:val="24"/>
                <w:color w:val="auto"/>
              </w:rPr>
            </w:pPr>
          </w:p>
        </w:tc>
        <w:tc>
          <w:tcPr>
            <w:tcW w:w="3660" w:type="dxa"/>
            <w:vAlign w:val="bottom"/>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(941) 907-9800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366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68"/>
        </w:trPr>
        <w:tc>
          <w:tcPr>
            <w:tcW w:w="3880" w:type="dxa"/>
            <w:vAlign w:val="bottom"/>
            <w:vMerge w:val="restart"/>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366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FWRG</w:t>
            </w:r>
          </w:p>
        </w:tc>
        <w:tc>
          <w:tcPr>
            <w:tcW w:w="34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29"/>
        </w:trPr>
        <w:tc>
          <w:tcPr>
            <w:tcW w:w="388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3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83"/>
        </w:trPr>
        <w:tc>
          <w:tcPr>
            <w:tcW w:w="38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12(b) of the Act: </w:t>
      </w:r>
      <w:r>
        <w:rPr>
          <w:rFonts w:ascii="Times New Roman" w:cs="Times New Roman" w:eastAsia="Times New Roman" w:hAnsi="Times New Roman"/>
          <w:sz w:val="16"/>
          <w:szCs w:val="16"/>
          <w:b w:val="1"/>
          <w:bCs w:val="1"/>
          <w:color w:val="auto"/>
        </w:rPr>
        <w:t>None</w:t>
      </w:r>
    </w:p>
    <w:p>
      <w:pPr>
        <w:spacing w:after="0" w:line="16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5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1" w:lineRule="exact"/>
        <w:rPr>
          <w:sz w:val="24"/>
          <w:szCs w:val="24"/>
          <w:color w:val="auto"/>
        </w:rPr>
      </w:pPr>
    </w:p>
    <w:p>
      <w:pPr>
        <w:ind w:right="18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1" w:lineRule="exact"/>
        <w:rPr>
          <w:sz w:val="24"/>
          <w:szCs w:val="24"/>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p>
      <w:pPr>
        <w:ind w:left="20"/>
        <w:spacing w:after="0" w:line="215" w:lineRule="exact"/>
        <w:tabs>
          <w:tab w:leader="none" w:pos="1660" w:val="left"/>
          <w:tab w:leader="none" w:pos="5460" w:val="left"/>
          <w:tab w:leader="none" w:pos="7400" w:val="left"/>
          <w:tab w:leader="none" w:pos="96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Unicode MS" w:cs="Arial Unicode MS" w:eastAsia="Arial Unicode MS" w:hAnsi="Arial Unicode MS"/>
          <w:sz w:val="16"/>
          <w:szCs w:val="16"/>
          <w:color w:val="auto"/>
        </w:rPr>
        <w:t xml:space="preserve">☐ </w:t>
      </w:r>
      <w:r>
        <w:rPr>
          <w:rFonts w:ascii="Times New Roman" w:cs="Times New Roman" w:eastAsia="Times New Roman" w:hAnsi="Times New Roman"/>
          <w:sz w:val="16"/>
          <w:szCs w:val="16"/>
          <w:color w:val="auto"/>
        </w:rPr>
        <w:t>Accelerated filer</w:t>
      </w:r>
      <w:r>
        <w:rPr>
          <w:rFonts w:ascii="Arial Unicode MS" w:cs="Arial Unicode MS" w:eastAsia="Arial Unicode MS" w:hAnsi="Arial Unicode MS"/>
          <w:sz w:val="16"/>
          <w:szCs w:val="16"/>
          <w:color w:val="auto"/>
        </w:rPr>
        <w:t xml:space="preserve">   ☒ </w:t>
      </w:r>
      <w:r>
        <w:rPr>
          <w:rFonts w:ascii="Times New Roman" w:cs="Times New Roman" w:eastAsia="Times New Roman" w:hAnsi="Times New Roman"/>
          <w:sz w:val="16"/>
          <w:szCs w:val="16"/>
          <w:color w:val="auto"/>
        </w:rPr>
        <w:t>Emerging growth company</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Non-accelerated filer</w:t>
      </w:r>
      <w:r>
        <w:rPr>
          <w:rFonts w:ascii="Arial Unicode MS" w:cs="Arial Unicode MS" w:eastAsia="Arial Unicode MS" w:hAnsi="Arial Unicode MS"/>
          <w:sz w:val="16"/>
          <w:szCs w:val="16"/>
          <w:color w:val="auto"/>
        </w:rPr>
        <w:tab/>
        <w:t xml:space="preserve">☐ </w:t>
      </w:r>
      <w:r>
        <w:rPr>
          <w:rFonts w:ascii="Times New Roman" w:cs="Times New Roman" w:eastAsia="Times New Roman" w:hAnsi="Times New Roman"/>
          <w:sz w:val="16"/>
          <w:szCs w:val="16"/>
          <w:color w:val="auto"/>
        </w:rPr>
        <w:t>Smaller reporting company</w:t>
      </w:r>
      <w:r>
        <w:rPr>
          <w:rFonts w:ascii="Arial Unicode MS" w:cs="Arial Unicode MS" w:eastAsia="Arial Unicode MS" w:hAnsi="Arial Unicode MS"/>
          <w:sz w:val="16"/>
          <w:szCs w:val="16"/>
          <w:color w:val="auto"/>
        </w:rPr>
        <w:tab/>
        <w:t>☐</w:t>
      </w:r>
    </w:p>
    <w:p>
      <w:pPr>
        <w:spacing w:after="0" w:line="119"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96" w:lineRule="exact"/>
        <w:rPr>
          <w:sz w:val="24"/>
          <w:szCs w:val="24"/>
          <w:color w:val="auto"/>
        </w:rPr>
      </w:pPr>
    </w:p>
    <w:p>
      <w:pPr>
        <w:ind w:right="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96"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210"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74"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40"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 xml:space="preserve">The aggregate market value of common stock held by non-affiliates (based on the closing price on the last business day of the registrant’s most recently completed second fiscal quarter as reported on the Nasdaq Stock Market) was approximately </w:t>
      </w:r>
      <w:r>
        <w:rPr>
          <w:rFonts w:ascii="Times New Roman" w:cs="Times New Roman" w:eastAsia="Times New Roman" w:hAnsi="Times New Roman"/>
          <w:sz w:val="17"/>
          <w:szCs w:val="17"/>
          <w:color w:val="auto"/>
        </w:rPr>
        <w:t>$570.4 million</w:t>
      </w:r>
      <w:r>
        <w:rPr>
          <w:rFonts w:ascii="Times New Roman" w:cs="Times New Roman" w:eastAsia="Times New Roman" w:hAnsi="Times New Roman"/>
          <w:sz w:val="16"/>
          <w:szCs w:val="16"/>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7, 2025, 60,700,090 shares of common stock of the registrant were outstanding.</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40"/>
          </w:cols>
          <w:pgMar w:left="320" w:top="1154" w:right="339" w:bottom="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2024 Annual Meeting of Stockholders are incorporated by reference into Part III of this Annual Report on Form 10-K where indicated. Such Definitive Proxy Statement will be filed with the Securities and Exchange Commission within 120</w:t>
      </w:r>
    </w:p>
    <w:p>
      <w:pPr>
        <w:spacing w:after="0"/>
        <w:tabs>
          <w:tab w:leader="none" w:pos="860" w:val="left"/>
          <w:tab w:leader="none" w:pos="1720" w:val="left"/>
          <w:tab w:leader="none" w:pos="2480" w:val="left"/>
          <w:tab w:leader="none" w:pos="3260" w:val="left"/>
          <w:tab w:leader="none" w:pos="3960" w:val="left"/>
          <w:tab w:leader="none" w:pos="4700" w:val="left"/>
          <w:tab w:leader="none" w:pos="6040" w:val="left"/>
          <w:tab w:leader="none" w:pos="6960" w:val="left"/>
          <w:tab w:leader="none" w:pos="7820" w:val="left"/>
          <w:tab w:leader="none" w:pos="8780" w:val="left"/>
          <w:tab w:leader="none" w:pos="10060" w:val="left"/>
          <w:tab w:leader="none" w:pos="10820" w:val="left"/>
        </w:tabs>
        <w:rPr>
          <w:sz w:val="20"/>
          <w:szCs w:val="20"/>
          <w:color w:val="auto"/>
        </w:rPr>
      </w:pPr>
      <w:r>
        <w:rPr>
          <w:rFonts w:ascii="Times New Roman" w:cs="Times New Roman" w:eastAsia="Times New Roman" w:hAnsi="Times New Roman"/>
          <w:sz w:val="18"/>
          <w:szCs w:val="18"/>
          <w:color w:val="auto"/>
        </w:rPr>
        <w:t>days</w:t>
      </w:r>
      <w:r>
        <w:rPr>
          <w:sz w:val="20"/>
          <w:szCs w:val="20"/>
          <w:color w:val="auto"/>
        </w:rPr>
        <w:tab/>
      </w:r>
      <w:r>
        <w:rPr>
          <w:rFonts w:ascii="Times New Roman" w:cs="Times New Roman" w:eastAsia="Times New Roman" w:hAnsi="Times New Roman"/>
          <w:sz w:val="18"/>
          <w:szCs w:val="18"/>
          <w:color w:val="auto"/>
        </w:rPr>
        <w:t>after</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end</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registrant’s</w:t>
      </w:r>
      <w:r>
        <w:rPr>
          <w:sz w:val="20"/>
          <w:szCs w:val="20"/>
          <w:color w:val="auto"/>
        </w:rPr>
        <w:tab/>
      </w:r>
      <w:r>
        <w:rPr>
          <w:rFonts w:ascii="Times New Roman" w:cs="Times New Roman" w:eastAsia="Times New Roman" w:hAnsi="Times New Roman"/>
          <w:sz w:val="18"/>
          <w:szCs w:val="18"/>
          <w:color w:val="auto"/>
        </w:rPr>
        <w:t>fiscal</w:t>
      </w:r>
      <w:r>
        <w:rPr>
          <w:sz w:val="20"/>
          <w:szCs w:val="20"/>
          <w:color w:val="auto"/>
        </w:rPr>
        <w:tab/>
      </w: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ended</w:t>
      </w:r>
      <w:r>
        <w:rPr>
          <w:sz w:val="20"/>
          <w:szCs w:val="20"/>
          <w:color w:val="auto"/>
        </w:rPr>
        <w:tab/>
      </w:r>
      <w:r>
        <w:rPr>
          <w:rFonts w:ascii="Times New Roman" w:cs="Times New Roman" w:eastAsia="Times New Roman" w:hAnsi="Times New Roman"/>
          <w:sz w:val="18"/>
          <w:szCs w:val="18"/>
          <w:color w:val="auto"/>
        </w:rPr>
        <w:t>December</w:t>
      </w:r>
      <w:r>
        <w:rPr>
          <w:sz w:val="20"/>
          <w:szCs w:val="20"/>
          <w:color w:val="auto"/>
        </w:rPr>
        <w:tab/>
      </w: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14"/>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37"/>
        </w:trPr>
        <w:tc>
          <w:tcPr>
            <w:tcW w:w="6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4100" w:type="dxa"/>
            <w:vAlign w:val="bottom"/>
            <w:gridSpan w:val="11"/>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2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5540" w:type="dxa"/>
            <w:vAlign w:val="bottom"/>
            <w:gridSpan w:val="20"/>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35</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1C. Cybersecurity</w:t>
            </w:r>
          </w:p>
        </w:tc>
        <w:tc>
          <w:tcPr>
            <w:tcW w:w="6580" w:type="dxa"/>
            <w:vAlign w:val="bottom"/>
            <w:gridSpan w:val="24"/>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35</w:t>
            </w:r>
          </w:p>
        </w:tc>
        <w:tc>
          <w:tcPr>
            <w:tcW w:w="0" w:type="dxa"/>
            <w:vAlign w:val="bottom"/>
          </w:tcPr>
          <w:p>
            <w:pPr>
              <w:spacing w:after="0"/>
              <w:rPr>
                <w:sz w:val="1"/>
                <w:szCs w:val="1"/>
                <w:color w:val="auto"/>
              </w:rPr>
            </w:pPr>
          </w:p>
        </w:tc>
      </w:tr>
      <w:tr>
        <w:trPr>
          <w:trHeight w:val="236"/>
        </w:trPr>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7620" w:type="dxa"/>
            <w:vAlign w:val="bottom"/>
            <w:gridSpan w:val="28"/>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36</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7020" w:type="dxa"/>
            <w:vAlign w:val="bottom"/>
            <w:gridSpan w:val="27"/>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36</w:t>
            </w:r>
          </w:p>
        </w:tc>
        <w:tc>
          <w:tcPr>
            <w:tcW w:w="0" w:type="dxa"/>
            <w:vAlign w:val="bottom"/>
          </w:tcPr>
          <w:p>
            <w:pPr>
              <w:spacing w:after="0"/>
              <w:rPr>
                <w:sz w:val="1"/>
                <w:szCs w:val="1"/>
                <w:color w:val="auto"/>
              </w:rPr>
            </w:pPr>
          </w:p>
        </w:tc>
      </w:tr>
      <w:tr>
        <w:trPr>
          <w:trHeight w:val="236"/>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50"/>
        </w:trPr>
        <w:tc>
          <w:tcPr>
            <w:tcW w:w="6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PART II</w:t>
            </w:r>
          </w:p>
        </w:tc>
        <w:tc>
          <w:tcPr>
            <w:tcW w:w="62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20" w:type="dxa"/>
            <w:vAlign w:val="bottom"/>
            <w:tcBorders>
              <w:bottom w:val="single" w:sz="8" w:color="0E32E1"/>
            </w:tcBorders>
            <w:gridSpan w:val="32"/>
          </w:tcPr>
          <w:p>
            <w:pPr>
              <w:spacing w:after="0"/>
              <w:rPr>
                <w:sz w:val="20"/>
                <w:szCs w:val="20"/>
                <w:color w:val="auto"/>
              </w:rPr>
            </w:pPr>
            <w:r>
              <w:rPr>
                <w:rFonts w:ascii="Times New Roman" w:cs="Times New Roman" w:eastAsia="Times New Roman" w:hAnsi="Times New Roman"/>
                <w:sz w:val="18"/>
                <w:szCs w:val="18"/>
                <w:color w:val="0E32E1"/>
                <w:w w:val="99"/>
              </w:rPr>
              <w:t>Item 5. Market for Registrant's Common Equity, Related Stockholder Matters and Issuer Purchases of Equity Securities</w:t>
            </w:r>
          </w:p>
        </w:tc>
        <w:tc>
          <w:tcPr>
            <w:tcW w:w="3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250"/>
        </w:trPr>
        <w:tc>
          <w:tcPr>
            <w:tcW w:w="124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9"/>
              </w:rPr>
              <w:t>Item 6. Reserved</w:t>
            </w:r>
          </w:p>
        </w:tc>
        <w:tc>
          <w:tcPr>
            <w:tcW w:w="7680" w:type="dxa"/>
            <w:vAlign w:val="bottom"/>
            <w:gridSpan w:val="29"/>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0E32E1"/>
            </w:tcBorders>
            <w:gridSpan w:val="29"/>
          </w:tcPr>
          <w:p>
            <w:pPr>
              <w:spacing w:after="0"/>
              <w:rPr>
                <w:sz w:val="20"/>
                <w:szCs w:val="20"/>
                <w:color w:val="auto"/>
              </w:rPr>
            </w:pPr>
            <w:r>
              <w:rPr>
                <w:rFonts w:ascii="Times New Roman" w:cs="Times New Roman" w:eastAsia="Times New Roman" w:hAnsi="Times New Roman"/>
                <w:sz w:val="18"/>
                <w:szCs w:val="18"/>
                <w:color w:val="0E32E1"/>
              </w:rPr>
              <w:t>Item 7. Management's Discussion and Analysis of Financial Condition and Results of Operations</w:t>
            </w:r>
          </w:p>
        </w:tc>
        <w:tc>
          <w:tcPr>
            <w:tcW w:w="1880" w:type="dxa"/>
            <w:vAlign w:val="bottom"/>
            <w:gridSpan w:val="4"/>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080" w:type="dxa"/>
            <w:vAlign w:val="bottom"/>
            <w:tcBorders>
              <w:bottom w:val="single" w:sz="8" w:color="0E32E1"/>
            </w:tcBorders>
            <w:gridSpan w:val="25"/>
          </w:tcPr>
          <w:p>
            <w:pPr>
              <w:spacing w:after="0"/>
              <w:rPr>
                <w:sz w:val="20"/>
                <w:szCs w:val="20"/>
                <w:color w:val="auto"/>
              </w:rPr>
            </w:pPr>
            <w:r>
              <w:rPr>
                <w:rFonts w:ascii="Times New Roman" w:cs="Times New Roman" w:eastAsia="Times New Roman" w:hAnsi="Times New Roman"/>
                <w:sz w:val="18"/>
                <w:szCs w:val="18"/>
                <w:color w:val="0E32E1"/>
              </w:rPr>
              <w:t>Item 7A. Quantitative and Qualitative Disclosures About Market Risk</w:t>
            </w:r>
          </w:p>
        </w:tc>
        <w:tc>
          <w:tcPr>
            <w:tcW w:w="3180" w:type="dxa"/>
            <w:vAlign w:val="bottom"/>
            <w:gridSpan w:val="7"/>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56</w:t>
            </w:r>
          </w:p>
        </w:tc>
        <w:tc>
          <w:tcPr>
            <w:tcW w:w="0" w:type="dxa"/>
            <w:vAlign w:val="bottom"/>
          </w:tcPr>
          <w:p>
            <w:pPr>
              <w:spacing w:after="0"/>
              <w:rPr>
                <w:sz w:val="1"/>
                <w:szCs w:val="1"/>
                <w:color w:val="auto"/>
              </w:rPr>
            </w:pPr>
          </w:p>
        </w:tc>
      </w:tr>
      <w:tr>
        <w:trPr>
          <w:trHeight w:val="250"/>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E32E1"/>
              </w:rPr>
              <w:t>Item 8. Financial Statements and Supplementary Data</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56</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E32E1"/>
          </w:tcPr>
          <w:p>
            <w:pPr>
              <w:spacing w:after="0" w:line="20" w:lineRule="exact"/>
              <w:rPr>
                <w:sz w:val="1"/>
                <w:szCs w:val="1"/>
                <w:color w:val="auto"/>
              </w:rPr>
            </w:pPr>
          </w:p>
        </w:tc>
        <w:tc>
          <w:tcPr>
            <w:tcW w:w="1480" w:type="dxa"/>
            <w:vAlign w:val="bottom"/>
            <w:gridSpan w:val="5"/>
            <w:shd w:val="clear" w:color="auto" w:fill="0E32E1"/>
          </w:tcPr>
          <w:p>
            <w:pPr>
              <w:spacing w:after="0" w:line="20" w:lineRule="exact"/>
              <w:rPr>
                <w:sz w:val="1"/>
                <w:szCs w:val="1"/>
                <w:color w:val="auto"/>
              </w:rPr>
            </w:pPr>
          </w:p>
        </w:tc>
        <w:tc>
          <w:tcPr>
            <w:tcW w:w="260" w:type="dxa"/>
            <w:vAlign w:val="bottom"/>
            <w:gridSpan w:val="3"/>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800" w:type="dxa"/>
            <w:vAlign w:val="bottom"/>
            <w:gridSpan w:val="3"/>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5760" w:type="dxa"/>
            <w:vAlign w:val="bottom"/>
            <w:gridSpan w:val="21"/>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7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900" w:type="dxa"/>
            <w:vAlign w:val="bottom"/>
            <w:tcBorders>
              <w:top w:val="single" w:sz="8" w:color="0000FF"/>
            </w:tcBorders>
            <w:gridSpan w:val="9"/>
          </w:tcPr>
          <w:p>
            <w:pPr>
              <w:jc w:val="right"/>
              <w:ind w:right="1260"/>
              <w:spacing w:after="0"/>
              <w:rPr>
                <w:sz w:val="20"/>
                <w:szCs w:val="20"/>
                <w:color w:val="auto"/>
              </w:rPr>
            </w:pPr>
            <w:r>
              <w:rPr>
                <w:rFonts w:ascii="Times New Roman" w:cs="Times New Roman" w:eastAsia="Times New Roman" w:hAnsi="Times New Roman"/>
                <w:sz w:val="18"/>
                <w:szCs w:val="18"/>
                <w:color w:val="0000FF"/>
                <w:w w:val="90"/>
              </w:rPr>
              <w:t>PART III</w:t>
            </w:r>
          </w:p>
        </w:tc>
        <w:tc>
          <w:tcPr>
            <w:tcW w:w="2700" w:type="dxa"/>
            <w:vAlign w:val="bottom"/>
            <w:gridSpan w:val="5"/>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4140" w:type="dxa"/>
            <w:vAlign w:val="bottom"/>
            <w:gridSpan w:val="12"/>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6420" w:type="dxa"/>
            <w:vAlign w:val="bottom"/>
            <w:gridSpan w:val="23"/>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40" w:type="dxa"/>
            <w:vAlign w:val="bottom"/>
            <w:gridSpan w:val="2"/>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rPr>
                <w:sz w:val="1"/>
                <w:szCs w:val="1"/>
                <w:color w:val="auto"/>
              </w:rPr>
            </w:pPr>
          </w:p>
        </w:tc>
      </w:tr>
      <w:tr>
        <w:trPr>
          <w:trHeight w:val="236"/>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91</w:t>
            </w:r>
          </w:p>
        </w:tc>
        <w:tc>
          <w:tcPr>
            <w:tcW w:w="0" w:type="dxa"/>
            <w:vAlign w:val="bottom"/>
          </w:tcPr>
          <w:p>
            <w:pPr>
              <w:spacing w:after="0"/>
              <w:rPr>
                <w:sz w:val="1"/>
                <w:szCs w:val="1"/>
                <w:color w:val="auto"/>
              </w:rPr>
            </w:pPr>
          </w:p>
        </w:tc>
      </w:tr>
      <w:tr>
        <w:trPr>
          <w:trHeight w:val="250"/>
        </w:trPr>
        <w:tc>
          <w:tcPr>
            <w:tcW w:w="610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2820" w:type="dxa"/>
            <w:vAlign w:val="bottom"/>
            <w:gridSpan w:val="6"/>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37"/>
        </w:trPr>
        <w:tc>
          <w:tcPr>
            <w:tcW w:w="6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8"/>
                <w:szCs w:val="18"/>
                <w:color w:val="0000FF"/>
                <w:w w:val="94"/>
              </w:rPr>
              <w:t>PART IV</w:t>
            </w:r>
          </w:p>
        </w:tc>
        <w:tc>
          <w:tcPr>
            <w:tcW w:w="3940" w:type="dxa"/>
            <w:vAlign w:val="bottom"/>
            <w:gridSpan w:val="9"/>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5040" w:type="dxa"/>
            <w:vAlign w:val="bottom"/>
            <w:gridSpan w:val="18"/>
          </w:tcPr>
          <w:p>
            <w:pPr>
              <w:spacing w:after="0"/>
              <w:rPr>
                <w:sz w:val="20"/>
                <w:szCs w:val="20"/>
                <w:color w:val="auto"/>
              </w:rPr>
            </w:pPr>
          </w:p>
        </w:tc>
        <w:tc>
          <w:tcPr>
            <w:tcW w:w="7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0000EE"/>
              </w:rPr>
              <w:t>92</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680" w:type="dxa"/>
            <w:vAlign w:val="bottom"/>
            <w:gridSpan w:val="26"/>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93</w:t>
            </w:r>
          </w:p>
        </w:tc>
        <w:tc>
          <w:tcPr>
            <w:tcW w:w="0" w:type="dxa"/>
            <w:vAlign w:val="bottom"/>
          </w:tcPr>
          <w:p>
            <w:pPr>
              <w:spacing w:after="0"/>
              <w:rPr>
                <w:sz w:val="1"/>
                <w:szCs w:val="1"/>
                <w:color w:val="auto"/>
              </w:rPr>
            </w:pPr>
          </w:p>
        </w:tc>
      </w:tr>
      <w:tr>
        <w:trPr>
          <w:trHeight w:val="250"/>
        </w:trPr>
        <w:tc>
          <w:tcPr>
            <w:tcW w:w="89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94</w:t>
            </w: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0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(the “Annual Report on Form 10-K”)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the section titled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Forward-looking statements are based on our current expectations and assumptions regarding our business, the economy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environmental, business, competitive, market and regulatory conditions and the following:</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consumer preferences and economic conditions such as inflation and recession;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open new restaurants in new and existing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visitors to areas where our restaurants are located may decline;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same-restaurant sales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and limited-time menu offerings may fail to generate profits;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disruptions in the supply or delivery of frequently used food items or increases in the cost of our frequently used food items;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prevent instances of food-borne illness in our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other breakfast and lunch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train, reward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sustainability activities, including environmental, social and governance (“ESG”) matters;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our existing franchisees, including their financial performance, our lack of control over their operations, and conflicting business interests;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adverse demographic, unemployment, economic, regulatory and weather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negative publicity, even if unwarranted;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number of suppliers for a substantial amount of our food and coffee;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protect our network security;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federal and local environmental, labor, employment and food safety laws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our duty to comply with covenants under our Credit Agreement (as defined in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Operations—Liquidity and Capital Resources</w:t>
      </w:r>
      <w:r>
        <w:rPr>
          <w:rFonts w:ascii="Times New Roman" w:cs="Times New Roman" w:eastAsia="Times New Roman" w:hAnsi="Times New Roman"/>
          <w:sz w:val="18"/>
          <w:szCs w:val="18"/>
          <w:color w:val="auto"/>
        </w:rPr>
        <w:t>”);</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Russia and Ukraine war, Israel-Hamas war and the related impact on macroeconomic conditions, including inflation, as a result of such conflicts or other related events;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Advent International, L.P., our largest stockholder, may differ from those of our public stockholders.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further description of these and other factors.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on Form 10-K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Watch Restaurant Group, Inc. is a Delaware holding company that was acquired by funds affiliated with or managed by Advent International L.P. (“Advent”) in August 2017 (the “Advent Acquisition”). Unless the context otherwise requires, “we,” “us,” “our,” “First Watch,” the “Company,” “Management” and other similar references refer to First Watch Restaurant Group, Inc. and, unless otherwise stated, all of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opening our doors in 1983, we have been a pioneer in Daytime Dining, serving made-to-order breakfast, brunch and lunch using the freshest of ingredients. We have built our brand on our commitment to operational excellence, our culinary mission centered around a fresh, continuously evolving menu, and our “You First” culture. Our focus on one daytime shift enables us to optimize restaurant operations while generating an average unit volume of $2.2 million per restaurant in 2024 in only 7.5 hours per day. This daytime focus also provides us with a competitive advantage allowing us to attract and retain employees who are passionate about hospitality and drawn to our “No Night Shifts Ever” approach, among other attractive benefits.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2024, we had a total of 572 restaurants across 29 states, 489 of which were company-owned and 83 were franchise-owned.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“Follow the Sun”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morning, thousands of our employees arrive at the crack of dawn to slice and juice fresh fruits and vegetables, bake muffins, brew our fresh coffee and whip up our French Toast batter from scratch. Every menu item is made-to-order and prepared with care. We do not use microwave ovens, heat lamps or deep fryers in our kitchens. At First Watch, we are driven by a pursuit of freshness as is highlighted by our culinary and sourcing philosophy to “Follow the Sun.” With this philosophy, our menu, which is inspired by the seasons, changes five times per year. Our rotating seasonal menu is commonly cited by our customers as a core element of the First Watch experience and has included favorites such as the Sunny Seoul Hash, Strawberry Tres Leches French Toast and the Brooklyn Breakfast Sandwich.</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seasonal items are offered alongside of our award-winning chef-driven menu including elevated executions of classic favorites for breakfast, brunch and lunch, such as our protein-packed Breakfast Quinoa, Farmstand Breakfast Tacos, and Avocado Toast. Our menu also features fresh juices, that we juice each morning, including Morning Meditation and Kale Tonic.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You First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four decades, we have cultivated an organizational culture built on our foundational concept of “You First,” which puts serving others above all else. As a company, we put our employees first and empower them to do whatever it takes to put our customers first. As evidenced by our vision to “Create Amazing Opportunities for Our People,” we also work hard to provide opportunities for advancement and meaningful relationships, and we prioritize personal and professional growth so that our people can thrive. We believe our approach and operating model have enabled us to retain and attract the best and brightest employees in the industry and are key factors in our ability to meet the growing demand we are seeing across the country. As a result, we are proud of the many people-focused awards and accolades we have received over the past few decades, most recently including the following:</w:t>
      </w:r>
    </w:p>
    <w:p>
      <w:pPr>
        <w:spacing w:after="0" w:line="20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the #1 Most Loved Workplace® in 2024 by Newsweek and the Best Practice Institute</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with ADP’s Culture at Work Award (2022)</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the top restaurant brand in Yelp’s inaugural list of the top 50 most-loved brands in the U.S (2023)</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 1 in a five-year study of employee surveys on Glassdoor published by William Blair for work/life balance and we were in the top 10 in overall employee satisfaction, among casual dining concepts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extend our You First culture by giving back to important organizations and causes that are meaningful to our people. Most notably, First Watch is proud of two key efforts to give back in a meaningful way:</w:t>
      </w:r>
    </w:p>
    <w:p>
      <w:pPr>
        <w:spacing w:after="0" w:line="189"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Sunrise: Through this initiative of passion, we source our coffee beans from women-owned farms in Colombia, and we pay an annual quality incentive bonus to farmers to further support their high-quality production. This program in turn empowers these women leaders to reinvest in their communities.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Cancer Research: Through each sale of a First Watch kid’s meal, we donate a portion of proceeds to the V Foundation in order to support and advance pediatric cancer research. To date, we have donated $1.4 million towards these important efforts.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First Watch has the potential for more than 2,200 restaurants in the continental United States. In 2021, First Watch was recognized by FSR Magazine as the fastest-growing full-service restaurant company in the United States based on unit growth and in 2024, we continued to realize that potential by opening 50 new company-owned and franchise-owned restaurants, which we collectively refer to as “system-wide” restaurants, across 19 states. Our growth strategy targets an accelerating pace of new system-wide restaurant development with a long-term goal of annual percentage growth in the low double digits.</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selecting new locations, we evaluate specific market characteristics, demographics, traffic patterns, co-tenants and growth potential. Our development approach has proven that First Watch has tremendous portability across markets, with new restaurants boasting consistent and a strong average unit volume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all geographies. First Watch’s top 10% of restaurants in terms of sales, span 14 states and 22 designated market areas. The average annual sales volumes of our new restaurants outpace the system average and we expect to sustain the performance through quality real estate selection and the introduction of features and operational practices designed to efficiently serve more demand.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of Franchise-Owned Restaurants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long-term growth strategy includes the acquisitions of First Watch restaurants operated by certain of our franchisees. To that end, during 2024, we acquired 22 operating restaurants along with development and territory rights in two separate transactions. We have also signed agreements to acquire a total of 19 additional restaurants from franchisees. See Note 22,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accompanying notes to the consolidated financial statements included in Item 8 of Part II of this Form 10-K for additional information. We believe the Company’s operation of the restaurants acquired from our franchisees as well as development in the reacquired territory provides substantial opportunity to realize new Company value. At December 29, 2024, we had 11 franchisees operating 83 restaurants with 29 total new restaurant development obligations. At December 29, 2024, 26 franchise-owned restaurants are subject to our option to purchase.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Restaurant Traffic and Build Sales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attractive return on invested capital starts with an intention to build sales and traffic through a focus on the core elements of the First Watch experience: serving incredible food, with memorable service, in an inviting atmosphere.</w:t>
      </w:r>
    </w:p>
    <w:p>
      <w:pPr>
        <w:spacing w:after="0" w:line="199" w:lineRule="exact"/>
        <w:rPr>
          <w:sz w:val="20"/>
          <w:szCs w:val="20"/>
          <w:color w:val="auto"/>
        </w:rPr>
      </w:pPr>
    </w:p>
    <w:p>
      <w:pPr>
        <w:jc w:val="both"/>
        <w:ind w:left="820" w:hanging="326"/>
        <w:spacing w:after="0" w:line="262" w:lineRule="auto"/>
        <w:tabs>
          <w:tab w:leader="none" w:pos="81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Delivering an Excellent On-Premise Dining Experience. </w:t>
      </w:r>
      <w:r>
        <w:rPr>
          <w:rFonts w:ascii="Times New Roman" w:cs="Times New Roman" w:eastAsia="Times New Roman" w:hAnsi="Times New Roman"/>
          <w:sz w:val="18"/>
          <w:szCs w:val="18"/>
          <w:color w:val="auto"/>
        </w:rPr>
        <w:t>Excellence in restaurant-level execution, recognized by customers and reinforced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hundreds of accolades we have received, increases the visit frequency of our customers, promotes trial by new consumers and ultimately encourages loyalty. Our single menu, throughout the day, streamlines our supply chain and restaurant operations, simplifies our employee training and provides for a consistent and superior customer dining experience.</w:t>
      </w:r>
    </w:p>
    <w:p>
      <w:pPr>
        <w:spacing w:after="0" w:line="203" w:lineRule="exact"/>
        <w:rPr>
          <w:rFonts w:ascii="Times New Roman" w:cs="Times New Roman" w:eastAsia="Times New Roman" w:hAnsi="Times New Roman"/>
          <w:sz w:val="18"/>
          <w:szCs w:val="18"/>
          <w:b w:val="1"/>
          <w:bCs w:val="1"/>
          <w:i w:val="1"/>
          <w:iCs w:val="1"/>
          <w:color w:val="auto"/>
        </w:rPr>
      </w:pPr>
    </w:p>
    <w:p>
      <w:pPr>
        <w:jc w:val="both"/>
        <w:ind w:left="820" w:hanging="326"/>
        <w:spacing w:after="0" w:line="262"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and Increased Accessibility. </w:t>
      </w:r>
      <w:r>
        <w:rPr>
          <w:rFonts w:ascii="Times New Roman" w:cs="Times New Roman" w:eastAsia="Times New Roman" w:hAnsi="Times New Roman"/>
          <w:sz w:val="18"/>
          <w:szCs w:val="18"/>
          <w:color w:val="auto"/>
        </w:rPr>
        <w:t>We believe that technology can continue to elevate the First Watch experience for both our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customers. To date we have implemented technologies that have enhanced accessibility by adding the functionality for direct ordering of takeout as well as third party delivery integrations. In 2024 and 2023, our total off-premises sales accounted for 17.5% and 18.3%, respectively, of our total restaurant sales.</w:t>
      </w:r>
    </w:p>
    <w:p>
      <w:pPr>
        <w:spacing w:after="0" w:line="207" w:lineRule="exact"/>
        <w:rPr>
          <w:rFonts w:ascii="Times New Roman" w:cs="Times New Roman" w:eastAsia="Times New Roman" w:hAnsi="Times New Roman"/>
          <w:sz w:val="18"/>
          <w:szCs w:val="18"/>
          <w:color w:val="auto"/>
        </w:rPr>
      </w:pPr>
    </w:p>
    <w:p>
      <w:pPr>
        <w:ind w:left="1460" w:hanging="318"/>
        <w:spacing w:after="0" w:line="282" w:lineRule="auto"/>
        <w:tabs>
          <w:tab w:leader="none" w:pos="14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In-restaurant dining sales continue to strengthen, indicating continued customer demand for experiences and connection. In 2022 we implemented kitchen display screens in all company-owned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60"/>
        <w:spacing w:after="0" w:line="258" w:lineRule="auto"/>
        <w:rPr>
          <w:sz w:val="20"/>
          <w:szCs w:val="20"/>
          <w:color w:val="auto"/>
        </w:rPr>
      </w:pPr>
      <w:r>
        <w:rPr>
          <w:rFonts w:ascii="Times New Roman" w:cs="Times New Roman" w:eastAsia="Times New Roman" w:hAnsi="Times New Roman"/>
          <w:sz w:val="18"/>
          <w:szCs w:val="18"/>
          <w:color w:val="auto"/>
        </w:rPr>
        <w:t>restaurants to simplify the employee experience and improve back-of house efficiency. Along with many other operational initiatives, processes and procedures, we continue to see opportunity to use technology to elevate the customer experience and simplify tasks for our teams. In February 2024, we completed the roll-out of pay-at-the-table technology at all company-owned restaurants. Through a QR code on our receipts, customers can now seamlessly pay using Apple Pay, Google Pay or a credit or debit card, reducing bottlenecks at host stands, particularly during peak weekend hours.</w:t>
      </w:r>
    </w:p>
    <w:p>
      <w:pPr>
        <w:spacing w:after="0" w:line="206" w:lineRule="exact"/>
        <w:rPr>
          <w:sz w:val="20"/>
          <w:szCs w:val="20"/>
          <w:color w:val="auto"/>
        </w:rPr>
      </w:pPr>
    </w:p>
    <w:p>
      <w:pPr>
        <w:jc w:val="both"/>
        <w:ind w:left="820" w:hanging="326"/>
        <w:spacing w:after="0" w:line="259"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Menu Innovation. </w:t>
      </w:r>
      <w:r>
        <w:rPr>
          <w:rFonts w:ascii="Times New Roman" w:cs="Times New Roman" w:eastAsia="Times New Roman" w:hAnsi="Times New Roman"/>
          <w:sz w:val="18"/>
          <w:szCs w:val="18"/>
          <w:color w:val="auto"/>
        </w:rPr>
        <w:t>We constantly evolve our on-trend menu which highlights quality and freshness and is operationally efficient.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it comes to sourcing our produce, we are guided by a core philosophy: “Follow the Sun.” Our five highly anticipated seasonal menus drive customer frequency. This means that we welcome each season with exceptional ingredients harvested when they are most flavorful and fresh. In addition, successful new platform introductions such as our Fresh Juice program, our Shareables, our alcohol program and our premium iced coffees add incremental sales opportunities and capitalize on growing trends.</w:t>
      </w:r>
    </w:p>
    <w:p>
      <w:pPr>
        <w:spacing w:after="0" w:line="206" w:lineRule="exact"/>
        <w:rPr>
          <w:rFonts w:ascii="Times New Roman" w:cs="Times New Roman" w:eastAsia="Times New Roman" w:hAnsi="Times New Roman"/>
          <w:sz w:val="18"/>
          <w:szCs w:val="18"/>
          <w:color w:val="auto"/>
        </w:rPr>
      </w:pPr>
    </w:p>
    <w:p>
      <w:pPr>
        <w:jc w:val="both"/>
        <w:ind w:left="1460" w:hanging="318"/>
        <w:spacing w:after="0" w:line="259" w:lineRule="auto"/>
        <w:tabs>
          <w:tab w:leader="none" w:pos="14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Offer Alcohol as Only First Watch Can</w:t>
      </w:r>
      <w:r>
        <w:rPr>
          <w:rFonts w:ascii="Times New Roman" w:cs="Times New Roman" w:eastAsia="Times New Roman" w:hAnsi="Times New Roman"/>
          <w:sz w:val="18"/>
          <w:szCs w:val="18"/>
          <w:color w:val="auto"/>
        </w:rPr>
        <w:t>. Our alcohol platform is unique and reflects our culinary innovation through combinations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fresh juices and ingredients with a variety of liquors. We have continued to expand on this strategic initiative and acquire the necessary licenses. As of December 29, 2024, our alcohol menu was offered in about 90% of our system-wide restaurants. As we have finalized the initial stage of adding alcohol to the majority of our system, our alcohol platform offers the opportunity to innovate alongside our constantly evolving culinary platforms and seasonal menus.</w:t>
      </w:r>
    </w:p>
    <w:p>
      <w:pPr>
        <w:spacing w:after="0" w:line="206"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Our Brand Awareness. </w:t>
      </w:r>
      <w:r>
        <w:rPr>
          <w:rFonts w:ascii="Times New Roman" w:cs="Times New Roman" w:eastAsia="Times New Roman" w:hAnsi="Times New Roman"/>
          <w:sz w:val="18"/>
          <w:szCs w:val="18"/>
          <w:color w:val="auto"/>
        </w:rPr>
        <w:t>For over 40 years, our awareness has grown primarily through word-of-mouth as our service, menu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created loyal fans. While we believe that organic growth of awareness contributes to our local feel, we also recognize the potential of strategically marketing in appropriate channels to accelerate our brand awareness. We continue to build expertise in, and deploy tested strategies for, utilizing targeted digital channels to reach certain attractive customer segments and build top-of-mind awareness. By using our first party data, we have been able to identify higher frequency customers and target similar customers with digital media vehicles. These demand generation strategies have aided us to “balance out” our customer base in recent years by growing penetration with Millennial and Gen Z segments.</w:t>
      </w:r>
    </w:p>
    <w:p>
      <w:pPr>
        <w:spacing w:after="0" w:line="209" w:lineRule="exact"/>
        <w:rPr>
          <w:rFonts w:ascii="Times New Roman" w:cs="Times New Roman" w:eastAsia="Times New Roman" w:hAnsi="Times New Roman"/>
          <w:sz w:val="18"/>
          <w:szCs w:val="18"/>
          <w:color w:val="auto"/>
        </w:rPr>
      </w:pPr>
    </w:p>
    <w:p>
      <w:pPr>
        <w:jc w:val="both"/>
        <w:ind w:left="820" w:hanging="326"/>
        <w:spacing w:after="0" w:line="255"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Technology &amp; Customer Data: </w:t>
      </w:r>
      <w:r>
        <w:rPr>
          <w:rFonts w:ascii="Times New Roman" w:cs="Times New Roman" w:eastAsia="Times New Roman" w:hAnsi="Times New Roman"/>
          <w:sz w:val="18"/>
          <w:szCs w:val="18"/>
          <w:color w:val="auto"/>
        </w:rPr>
        <w:t>We accelerated the implementation of customer data acquisition systems in order to better inform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habits and behaviors of our customers. With the large increase in remote digital orders, we also sought to digitize in-restaurant orders for the purpose of creating an omnichannel view of the First Watch customer. By integrating remote waitlist, remote orders, tokenized credit card transactions and WiFi into one system, we now have the ability to better understand trial and frequency. Since implementation of these systems, we have gathered customer information for over 17.9 million unique customer profiles, 7.7 million of whom have opted for direct communication from First Watch. The advances in these foundational systems have allowed us to learn more about our customers and the behaviors that ultimately drive lifetime customer value. We see this as a long-term opportunity to drive increased visit frequency as we have the ability to build new customer technology features that elevate the customer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and Food Safety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emphasizes high food quality and a commitment to food safety in each restaurant through the careful training and supervision of personnel and by following rigorous quality and cleanliness standards. Food preparation and cleaning procedures are defined, monitored and maintained by our quality assurance department. We contract with third-party inspectors to regularly monitor restaurant performance through unannounced non-biased food safety assessments with program standards that meet or exceed those of local health departments. These inspections are intended to achieve active managerial control in our restaurants in an effort to reduce risk factors and maintain a strong food safety culture.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 management incentive plans provide strong motivation to meet and exceed standards. In addition, as part of our overall food quality assurance, we have a process in place to review vendors’ food safety practices to ensure they meet or exceed industry standards.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Staff</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29, 2024, we had more than 15,000 restaurant employees. None of our employees are part of a collective bargaining agreement and based upon independent surveys and our internal evaluations, we believe our “You First” organizational culture continues to foster overall favorable relations with our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restaurant operates with a staff of approximately 30 team members led by general manager(s).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 restaurant’s 7:00 a.m. to 2:30 p.m. shift, our staff focus on gracious service, food preparation, order accuracy and “instagrammable” plating. General managers interview each applicant and identify motivated employees who are friendly, service oriented, eager to prepare high-quality food and a fit for our “You First” culture. We employ a narrow span of supervisory control, which we believe contributes to the consistency of our restaurants’ performance across our 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training programs share our legacy and culture of operating excellence. We have a training facility at our corporate headquarters named the F.A.R.M. (“First Watch Academy of Restaurant Management”), to which we invite managers-in-training for a week-long immersive brand experience where we teach everything from our history and cultural pillars to leadership and management tools. We have enhanced this training program to also focus on building a more diverse and inclusive team. In addition, managers-in-training also complete a comprehensive 10-week C.A.F.E. (“Culture and Food Experience”) training program in the restaurants, alongside experienced managers. Training for all in-restaurant management positions was also enhanced to clearly define and delineate roles in order to drive both results and engagement. New hourly employees participate in at least three days of initial onboarding training and shadowing. Our general managers and directors of operations conduct in-restaurant training for our staff who also train online through our Virtual Learning Academy.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and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Supply Chain department manages and negotiates directly with qualified, national suppliers and distributors with the dual goals of securing the supply of high quality, fresh products and controlling cost. Our selected vendors undergo inspections to ensure that products purchased conform to our standards. Our Quality Assurance department requires third-party supplier audits or Global Food Safety Initiative certification for all food distributors and manufacturing facilities to ensure good manufacturing practices, food safety, pest control, sanitation, training, regulatory compliance and food defense systems are in place. To ensure freshness, most of our restaurants accept produce and broadline distribution deliveries at least three times per week.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Information Systems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our restaurants use digital management information systems, which we believe are scalable to support our future growth plans. These systems are designed to enable functionality, improve operating efficiencies, provide us with timely access to financial and marketing data and reduce restaurant and corporate administrative time and expense. In addition, our in-restaurant systems are used to process customer orders, credit card payments, employee time-keeping and scheduling.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Advertising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variety of marketing channels, including affiliate partnerships, social media interactions, digital marketing, direct mailers, public relations initiatives and local community sponsorships, email communications, promotions and partnerships. We focus on increasing our engagement with social media platforms in order to generate brand awareness and also to gather information we can then apply to future marketing efforts.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 Program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29, 2024, we had 11 franchisees that operated 83 restaurants and our existing franchisees had 29 total new restaurant development obligations. Typically, our franchise agreements provide an initial term of 10 years with additional renewal terms that total 10 years subject to various conditions that include upgrades to the restaurant facility and brand image. All franchise agreements grant licenses to use our trademarks, trade secrets and proprietary methods, recipes and procedures. The initial franchise fee for each restaurant is $35,000 to $40,000. Franchisees are required to pay 4.0% of franchised restaurant sales in royalties and contribute 1.0%-3.0% of franchised restaurant sales to a system fund, which is used for advertising, marketing and public relations programs and materials on a system-wide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First” Culture Elevates Employee and Customer Satisfaction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Watch has a simple mission statement based on its “You First” culture—“Making days brighter at every opportunity.” We have been people-focused from our inception as we have always believed our employees are our greatest asset. We believe that putting our employees first, in turn, leads them to put customers first and we are confident that our people-centric culture plays a significant role in retaining our employees. This culture was also a key factor in the Company’s achievement of being recognized as 2024’s #1 Most Loved Workplace in the United States by Newsweek and the Best Practice Institute. This is the third consecutive year in which the Company has been included in Newsweek’s Top 100 Most Loved Workplaces®, a designation that was a result of an assessment of First Watch’s people practices along with an independent survey of approximately 1,000 of our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Listening to Our Employees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in fostering an environment where all employees feel valued and heard, and we furnish employees with various communication channels to provide regular feedback, including surveys, meetings, and, most importantly, direct communication with Company leadership. In 2024, CEO and President, Chris Tomasso, Chief People Officer, Laura Sorensen and Chief Operations Officer, Dan Jones, hosted twenty-four separate 90 minute calls with hourly employees across the country for their fourth annual W.H.Y. Tour – their “We Hear You” listening tour. The purpose of these in-depth sessions is to learn more about the issues most meaningful to our hourly workforce. As a result of these tours, the Company has been able to take swift action on the issues that surfaced, resulting in positive changes for both employees and customers. New menu changes, employee benefits, training, operational practices and more efficient tools have been introduced as a direct result of feedback from each annual tour, reinforcing the Company’s culture of listening to its employees and taking action on the issues that matter the most to them.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Taking Care of Our Employees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First Watch, our people are our purpose, which is why we continue to invest in benefits and programs. We operate on a “No Nights Ever” model and work to get our restaurant employees “out the door by four”– which allows our teams to enjoy evenings with their family and friends, and an improved quality of life. This one-shift model provides our employees with a work-life balance that is simply out of reach for most restaurant industry employees. In addition to this flexibility, we support our employees with healthcare benefits, a 401(k) plan, tuition reimbursement, family leave and other assistance, including but not limited to:</w:t>
      </w:r>
    </w:p>
    <w:p>
      <w:pPr>
        <w:spacing w:after="0" w:line="21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childcare and eldercare available for all employees, at all levels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“You First” Emergency Assistance Fund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text-based telemedicine platform with no out-of-pocket expenses, for all employees regardless of insurance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Complimentary access to the Calm App (for meditation, relaxation and sleep) for all employees and five of their loved ones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No-cost high school diploma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on thousands of items from sporting tickets and computers to cars and daycare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we created the “You First” Emergency Assistance Fund, which provides financial support to employees and their immediate families during times of significant hardship following the impacts of qualifying disasters. A portion of each kid’s meal sold by our restaurants benefits this program. Since its inception, this fund has provided employees with over with over $1 million dollars in tax-free hardship grants. Most recently the fund was leveraged to assist hundreds of our Southeast-based employees after the hurricanes of 2024 caused flooding and wind damage in Florida, Georgia, North and South Carolina.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Including Our Employees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First Watch, we are committed to making days brighter by creating a culture where our teams and our customers feel valued and celebrated for who they are and the differences they bring to the table. With our mission of “Making days brighter at Every opportunity”, we endeavor to provide all employees with the opportunity to contribute at the highest level to ensure everyone can belong, thrive, and “Follow the Sun” to reach their full potential. We believe the composition of our teams reflect the diversity of our restaurant communities across the country, allowing us to better anticipate market trends and address the needs of our customers. And while our work is ongoing, we’re dedicated to building on our “You First” commitment and unlocking possibilities for each team member and the communities we serve. First Watch works with an outside consultant to complete an annual assessment to both build and benchmark our policies, practices and representation.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we developed and launched an annual campaign, branded #beabetterhuman, which has taken our people-focused approach to a new level. The #beabetterhuman initiative is comprised of monthly live, interactive in-person and online workshops fostering personal and professional development. The #beabetterhuman campaign was designed to educate and develop our workforce, raise awareness and influence change. We continue to build upon the success of the program with training for new managers and an ongoing #beabetterhuman series on Facebook, Instagram and Glassdoor highlighting employees within the restaurants and their unique and inspiring stories. Our #beabetterhuman campaign also inspired the opportunity for employees to give back to the community through our executive-sponsored and employee-led Kale Krew, which coordinates multiple volunteer opportunities annually.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Our Employees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development and growth are a way of life at First Watch. Since 2022, more than 85% of the 510 employees promoted to general manager at our corporate-owned restaurants were promoted from within. The average tenures for our directors of operations, regional vice presidents and field operations vice presidents are 8 years, 13 years and 19 years, respectively.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First Watch takes a 360-degree personal/professional approach to career advancement and development. We are constantly iterating and promoting career advancement opportunities for our people. Specific programs include:</w:t>
      </w:r>
    </w:p>
    <w:p>
      <w:pPr>
        <w:spacing w:after="0" w:line="189"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certified Black Hat and Black Apron program encourages leadership development for back-of-house and front-of-house employees through financial and growth incentives.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training general manager and restaurant program provides additional financial and growth opportunities for aspiring leaders, enabling us to promote more employees from within our restaurants and ensure we are delivering a best-in-class training experience to all new hires.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“Come Grow With Us” events provide hourly employees who are interested in leadership the chance to learn about growth and development and get on the fast track to management.</w:t>
      </w: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in 2018, our First Watch Academy of Restaurant Management immerses new restaurant managers in our You First culture and leverages Company subject matter experts to educate these leaders on a variety of essential topics, including leadership behaviors. To date, nearly 1,000 high-potential leaders have attended the week-long sessions that take place throughout the year.</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prioritize personal and professional growth because it’s simply the right thing to do and it’s part of our culture. However, it also makes our aggressive growth plans possible. With over 100 new restaurants in our real estate development pipeline, we need a robust GM-ready talent bench. Our ongoing career growth opportunities, along with our culture and hours, are a key component to our employee value proposition, which fuels our ability to both attract and retain great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Retaining Our Employees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these aspects, and many more, contribute to our award-winning culture and employee retention. Our turnover sits well below the industry average and has improved sequentially over the last two years for both managers and hourly team members, enabling us to provide consistent and memorable dining experiences for our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Passionate Leadership Team and Deep Bench of Talent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 is led by passionate executives who have an extensive mix of experience in our brand and with other leading national restaurant concepts and consumer facing businesses. We have a deep bench of talent throughout the organization. Our executives and key employees average more than 15 years of industry experience and our directors of operations have an average tenure at First Watch of approximately 10 years. In addition, our restaurant staff includes hundreds of fully-trained, tested, high-performing managers throughout our system who are poised to step into the general manager role as we execute our growth strategy and open new restaurants.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extensive federal, state and local government laws and regulations, including those relating to, among others, public health and safety, zoning and fire codes, alcoholic beverage control and franchising.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also subject to the Fair Labor Standards Act, the Immigration Reform and Control Act of 1986, the Americans with Disabilities Act and various federal and state laws governing such matters as minimum wages, exempt versus non-exempt, overtime, unemployment tax rates, workers’ compensation rates, citizenship requirements and other working conditions. New laws, regulations or interpretations could impact our business or our cost of compliance.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the various risks we face from regulation and compliance matters, 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registered “First Watch the Daytime Cafe,” “You First,” “Yeah, It’s Fresh!” and certain other names used by our restaurants as trademarks or service marks with the United States Patent and Trademark Office (“USPTO”). In addition, the First Watch logo, website name and address and Facebook and Twitter accounts are our intellectual property. Our policy is to pursue and maintain registration of service marks and trademarks and to oppose vigorously any infringement or dilution of the service marks or trademarks. We maintain certain recipes for our menu items, as well as certain standards, specifications and operating procedures, as trade secrets or confidential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restaurant industry is highly competitive and fragmented, with restaurants competing directly and indirectly with regard to dining experience, food quality, service, price and location. We also compete with grocery store chains and meal subscription services. In addition, there is active competition for management personnel, real estate sites, supplies and restaurant employees. Competition is also influenced strongly by marketing and brand reputation.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consumers increasingly seek higher quality breakfast, brunch and lunch experiences, we believe we are well-positioned to compete with a wide range of national, regional and local establishments that operate during our hours of operation. More directly, we do not believe there is a comparable offering within our segment that operates at the scale of First Watch and we view our primary competition as a network of independent restaurants that also serve breakfast and lunch in neighborhoods across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are subject to seasonal fluctuations. Additionally, the timing of holidays, weather conditions and the number of new restaurant openings may affect sales volumes seasonally.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discussion of risks related to seasonal and periodic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was incorporated in Delaware on August 10, 2017, under the name AI Fresh Super Holdco, Inc. We changed our name on December 20, 2019 to First Watch Restaurant Group, Inc. Our principal executive offices are located at 8725 Pendery Place, Suite 201, Bradenton, FL 34201 and our telephone number is (941) 907-9800. Our corporate website address is www.firstwatch.com. We completed our initial public offering (“IPO”) in October 2021 and our common stock is listed on the Nasdaq Global Select Market (“Nasdaq”) under the symbol “FWRG.”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consumer website is located at www.firstwatch.com, and our investor relations website is located at https://investors.firstwatch.com. We make available, free of charge, through our internet website,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Annual Report on Form 10-K.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and our investor relations website (https://investors.firstwatch.com) in order to achieve broad, non-exclusionary distribution of information to the public and for complying with our disclosure obligations under Regulation FD.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risks described below in addition to the other information set forth in this Annual Report on Form 10-K, including 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Market Risk</w:t>
      </w:r>
      <w:r>
        <w:rPr>
          <w:rFonts w:ascii="Times New Roman" w:cs="Times New Roman" w:eastAsia="Times New Roman" w:hAnsi="Times New Roman"/>
          <w:sz w:val="18"/>
          <w:szCs w:val="18"/>
          <w:color w:val="auto"/>
        </w:rPr>
        <w:t>” and our consolidated financial statements and related notes. If any of the risks and uncertainties described in the cautionary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actually occur or continue to occur, our business, financial condition, results of operations, cash flow and the trading price of our common stock could be materially and adversely affected. The considerations and risks that follow are organized within relevant headings but may be relevant to other headings as well. Moreover, the risks below are not the only risks we face and additional risks not currently known to us or that we presently deem immaterial may emerge or become material at any time and may adversely impact our business, reputation, financial condition, results of operations, cash flow or the trading price of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outside of our control, that could cause our actual results to be harmed. These risks include the following: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6" w:lineRule="exact"/>
        <w:rPr>
          <w:sz w:val="20"/>
          <w:szCs w:val="20"/>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economic conditions and other factors, many of which are largely outside of our control</w:t>
      </w:r>
    </w:p>
    <w:p>
      <w:pPr>
        <w:spacing w:after="0" w:line="27"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open new restaurants in new and existing markets or to operate them as profitably as we have experienced in the past</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growth</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new restaurants may adversely impact sales at our and our franchisees’ existing restaurants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visitors to areas where our restaurants are located may decline</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same-restaurant sales growth</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marketing programs or limited-time menu offerings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disruptions in the supply or delivery of frequently used food items or increases in the cost of our frequently used food items</w:t>
      </w:r>
    </w:p>
    <w:p>
      <w:pPr>
        <w:spacing w:after="0" w:line="27"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new restaurant openings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other breakfast and lunch restaurants</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food safety and food-borne illness concerns</w:t>
      </w:r>
    </w:p>
    <w:p>
      <w:pPr>
        <w:spacing w:after="0" w:line="9" w:lineRule="exact"/>
        <w:rPr>
          <w:rFonts w:ascii="Times New Roman" w:cs="Times New Roman" w:eastAsia="Times New Roman" w:hAnsi="Times New Roman"/>
          <w:sz w:val="18"/>
          <w:szCs w:val="18"/>
          <w:color w:val="auto"/>
        </w:rPr>
      </w:pPr>
    </w:p>
    <w:p>
      <w:pPr>
        <w:ind w:left="660" w:hanging="409"/>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our existing franchisees, including their financial performance, our lack of control over their operations and conflicting business interests</w:t>
      </w: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number of suppliers for a substantial amount of our food and coffee</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concentration</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negative publicity, even if unwarranted</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accelerated impact of social media and artificial intelligence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Intellectual Property</w:t>
      </w:r>
    </w:p>
    <w:p>
      <w:pPr>
        <w:spacing w:after="0" w:line="2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adequately protect our network security</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federal and state laws and regulations relating to privacy, data protection, advertising and consumer protection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state property law liability with our gift cards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enforce and maintain our trademarks and other intellectual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adverse litigation outcomes with respect to our intellectual property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Employees and the Workforce</w:t>
      </w:r>
    </w:p>
    <w:p>
      <w:pPr>
        <w:spacing w:after="0" w:line="25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identify qualified individuals for our workforce</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our failure to maintain our corporate culture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unionization activities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risks associated with our sustainability activities, including ESG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federal and local environmental, labor, employment, food safety, franchise, zoning and other applicable laws and regulations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the distraction and expense of litigation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labor and healthcare costs due to changes in laws and regulations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properties subject to long-term and non-cancelable leases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and regulations applicable to public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results of operations caused by fluctuations in our tax obligations and effective tax rate and realization of our deferred tax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risks related to our sale of alcoholic beverages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Accounting and Financial Reporting Matters</w:t>
      </w:r>
    </w:p>
    <w:p>
      <w:pPr>
        <w:spacing w:after="0" w:line="25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impairment in the carrying value of our goodwill or indefinite-lived intangible assets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to accounting estimates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internal control over financial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5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our duty to comply with covenants under our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Company and Organizational Structure</w:t>
      </w:r>
    </w:p>
    <w:p>
      <w:pPr>
        <w:spacing w:after="0" w:line="25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Advent may differ from those of our public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operating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status as an emerging growth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anti-takeover provisions of Delaware law, our amended and restated certificate of incorporation and bylaws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exclusive forum jurisdiction in the Court of Chancery in the State of Delaware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5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could be reduced by future offerings of debt or equity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status as a controlled company with highly concentrated ownership of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not to pay any dividends on our common stock in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significant fluctuations in our quarterly results of operations that could fall below the expectations of securities analysts and investors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in the public markets by Advent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impact from grants under our equity incentive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executive officers or other key employees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access to additional capital to support business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levels of insurance coverage against claims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changes in economic conditions and consumer preferences that could have a material adverse effect on our business, financial condition and results of operations.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geopolitical tensions, inflation or increased food or energy costs have harmed and could continue to harm the restaurant industry in general and our restaurants in particular. Adverse changes in any of these factors could reduce consumer traffic or impose practical limits on pricing that could have a material adverse effect on our business, financial condition and results of operations. It is possible that consumers may no longer regard our menu offerings favorably, that we will no longer be able to develop new menu items that appeal to consumer preferences or that there will be a drop in consumer demands for restaurant dining during breakfast and lunch dayparts. Restaurant traffic and our resulting sales depend in part on our ability to anticipate, identify and respond to changing consumer preferences and economic conditions. The rising popularity of certain weight loss drugs, which suppress a person’s appetite, may impact sales or traffic in our restaurants. In addition, the restaurant industry is subject to scrutiny due to the perception that restaurant company practices have contributed to poor nutrition, high caloric intake, obesity or other health concerns of their customers. If we are unable to adapt to changes in consumer preferences and trends, we may lose customers, which could have a material adverse effect on our business, financial condition and results of operations.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laws and regulations affecting permissible ingredients and menu items. A number of counties, cities and states have enacted menu labeling laws requiring multi-unit restaurant operators to disclose to consumers certain nutritional information, or have enacted legislation restricting the use of certain types of ingredients in restaurants. An unfavorable report on, or reaction to, our menu ingredients, the size of our portions or the nutritional content of our menu items could adversely influence the demand for our menu offerings.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Compliance with current and future laws and regulations regarding the ingredients and nutritional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are subject to, and may be adversely affected by, a number of other factors, many of which are also largely outside of our control.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have been in the past and will continue to be subject to a number of other factors, many of which are largely outside our control. Any one or more of the factors listed below or described elsewhere in this Risk Factors section could have a material adverse impact on our business, financial condition and/or results of operations: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real estate costs in certain markets;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inflationary pressures;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to our supply chain;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governmental rules and approaches to taxation and trade restrictions, including tariffs;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adverse outcomes of litigation;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severe weather or other natural or man-made disasters affecting a large market or several closely located markets or our supply chain;</w:t>
      </w:r>
    </w:p>
    <w:p>
      <w:pPr>
        <w:spacing w:after="0" w:line="8"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climate, including changes to the frequency of severe weather events, that impact the cost and availability of goods and services, energy and other materials throughout our supply chain; and</w:t>
      </w:r>
    </w:p>
    <w:p>
      <w:pPr>
        <w:jc w:val="both"/>
        <w:ind w:left="660" w:hanging="328"/>
        <w:spacing w:after="0" w:line="255"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labor discord or disruption, geopolitical events, war, terrorism, political instability, acts of public violence, boycotts, hostilities and social unrest and health pandemics or other outbreaks of infectious disease that lead to avoidance of public places or restrictions on public gatherings such as in our restaurants.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important aspect of our growth strategy involves opening new restaurants in existing and new markets. We may be unsuccessful in opening new restaurants or establishing new markets and our new restaurants may not perform as well as anticipated which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part of our growth strategy includes opening new restaurants in existing and new markets and operating those restaurants on a profitable basis. We must identify target markets where we can enter or expand. We may not be able to open our planned new restaurants within budget or on a timely basis, and our new restaurants may not perform as well as anticipated. Our and our franchisees’ ability to successfully open new restaurants is affected by a number of factors, many of which are beyond our control, including our and our franchisees’ ability to:</w:t>
      </w:r>
    </w:p>
    <w:p>
      <w:pPr>
        <w:spacing w:after="0" w:line="20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identify a sufficient number of available and suitable restaurant sites;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compete for restaurant sites;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reach acceptable agreements regarding the lease or purchase of restaurant sites;</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obtain or have available the financing required to develop and operate new restaurants, including construction and opening costs, which includes access to leases and equipment leases at favorable interest and capitalization rates;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respond to unforeseen engineering or environmental problems with our selected restaurant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mitigate the impact of inclement weather, natural disasters and other calamities on the development of restaurant sites;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hire, train and retain the skilled management and other employees necessary to meet staffing needs of new restaurants;</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respond to construction and equipment cost increases for new restaurants.</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open new restaurants, or if planned restaurant openings are significantly delayed, it could have a material adverse effect on our business,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system-wide restaurants are geographically concentrated in the southeast portion of the United States and we may encounter new challenges as we enter new markets. The challenges of entering new markets include: difficulties in hiring experienced personnel; increased labor costs;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company-owned and franchise-owned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Any failure on our part to recognize or respond to these challenges may adversely affect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 of any new restaurants and could have a material adverse effect on our business, financial condition and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manage our growth effectively could harm our business and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plan includes opening new restaurants. Our existing restaurant management systems, financial and management controls and information systems may be inadequate to support our planned expansion. Managing our growth effectively will require us to continue to enhance these systems, procedures and controls and to recruit,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Opening new restaurants in existing markets may adversely impact sales at our and our franchisees’ existing restaurants.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consumer target area of our and our franchisees’ restaurants varies by location, depending on a number of factors, including population density, other local retail and business attractions, area demographics and geography. As a result, if we open new restaurants in or near markets in which we or our franchisees’ already have restaurants, it could have a material adverse effect on the results of operations and same-restaurant sales growth for our restaurants in such markets due to the close proximity with our other restaurants and market saturation. Existing restaurants could also make it more difficult to build our and our franchisees’ consumer base for a new restaurant in the same market. Sales cannibalization between our restaurants may become significant in the future as we continue to open new restaurants and could affect our sales growth, which could, in turn, have a material adverse effect on our business, financial condition and results of operations.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visitors to any of the retail centers, lifestyle centers, or entertainment centers where our restaurants are located could adversely affect our restaurant sales.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are primarily located in high-activity trade areas that often contain retail centers, lifestyle centers, and entertainment centers. We depend on high visitor rates in these trade areas to attract customers to our restaurants. Factors that may result in declining visitor rates at these locations include economic or political conditions, anchor tenants closing in retail centers in which we operate, changes in consumer preferences or shopping patterns, changes in discretionary consumer spending, increasing petroleum prices, mobility restrictions and fear of contracting infectious diseases. A decline in traffic at these locations for a sustained period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same-restaurant sales growth may be lower than we expect in future periods.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Same-restaurant sales growth will continue to be a critical factor affecting our ability to generate profits because the profit margin on same-restaurant sales growth is generally higher than the profit margin on new restaurant sales. Our ability to increase same-restaurant sales growth depends in part on our ability to successfully implement our initiatives to build sales. It is possible such initiatives will not be successful, that we will not achieve our target same-restaurant sales growth or that the change in same-restaurant sales growth could be negative, which may cause a decrease in sales growth and ability to achieve profitability. This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and our limited time new offerings may not be successful and could fail to meet expectations, and our new menu items, advertising campaigns and restaurant designs and remodels may not generate increased sales or profits.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 costs and expend other resources in our marketing efforts on new and seasonal menu items, advertising campaigns and restaurant designs and remodels to raise brand awareness and attract and retain customers.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Additionally, our limited time menu offerings, which are a key part of our promotional activities from time to time, may not perform as anticipated, which could have an adverse impact on our results of operations for the related period. If these initiatives are not successful, we could incur expenses without the benefit of higher revenues, which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cost of food could have a material adverse effect on our business,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profitability depends in part on our ability to anticipate and react to changes in food and beverage costs, including, among other things, our costs for pork, coffee, eggs, avocados, potatoes, bread, cheese and fresh produce items. We are susceptible to increases in the cost of food due to factors beyond our control, such as freight and delivery charges, general economic conditions, seasonal economic fluctuations, weather conditions, global demand, food safety concerns, infectious diseases, fluctuations in the U.S. dollar, tariffs and import taxes, product recalls and government regulations. In 2024 and continuing into 2025, for example, we have experienced significant increases in the cost of eggs, primarily due to an outbreak of avian influenza, as well as coffee and avocados, primarily due to the impact of climate and weather conditions. Dependence on frequent deliveries of fresh produce and other food products subjects our business to the risk that shortages or interruptions in supply could adversely affect the availability, quality or cost of ingredients or require us to incur additional costs to obtain adequate supplies. Further, increases in fuel prices could result in increased distribution costs.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price or availability of certain food products could affect our profitability and reputation. While some commodities we purchase are subject to contract pricing, as our contracts expire, we may not be able to successfully re-negotiate terms that protect us from price inflation in the future. International commodities we purchase are also subject to supply shortages or interruptions.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cost increases with respect to one or more of our raw ingredients, we may choose to temporarily suspend or permanently discontinue serving menu items rather than pay the increased cost for the ingredients. Any such changes to our available menu could adversely impact our restaurant traffic, business and same-restaurant sales growth. While future cost increases can be partially offset by increasing menu prices, such price increases may adversely affect our customers’ visit frequencies and purchasing patterns. Competitive conditions may limit our menu pricing flexibility and if we or our franchisees implement menu price increases to protect our margins, restaurant traffic could be materially adversely affected, at both company-owned and franchise-owned restaurants.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restaurants may not be profitable or may close, and the performance of our restaurants that we have experienced in the past may not be indicative of future results.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restaurants open with an initial start-up period of higher or lower than normal sales volumes. Our restaurant level operating profit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average unit volume and same-restaurant sales growth may not increase at the rates our existing restaurants have achieved over the past several years. Our ability to operate new restaurants profitably and increase our average unit volume and same-restaurant sales growth will depend on many factors, some of which are beyond our control, including:</w:t>
      </w:r>
    </w:p>
    <w:p>
      <w:pPr>
        <w:spacing w:after="0" w:line="21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awareness and understanding of our brand;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which can affect restaurant traffic, local labor costs and prices we pay for the food products and other supplies we use;</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 patterns and food preferences that may differ from region to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discretionary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or maintaining adequate relationships with distributors or suppliers in new markets;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prices for commodities;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inefficiency in our labor costs as the staff gains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either from our competitors in the restaurant industry or our own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and permanent site characteristics of new restaurants;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increases in costs, any of which could give rise to delays or cost overruns.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customers, and our inability to compete effectively may affect our traffic, our sales and our operating profit margins, which could have a material adverse effect on our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We also compete with a number of non-traditional market participants, such as convenience stores, grocery stores, coffee shops, and meal kit delivery services. Competition from food delivery services companies has also increased in recent years. Any inability to successfully compete with the restaurants in our existing or new markets will place downward pressure on our customer traffic and could have a material adverse effect on our business,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continued success also depends in part on the continued popularity of our menu and the experience we offer customers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concerns may have an adverse effect on our business by decreasing sales and increasing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Food safety and quality concerns may adversely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Food safety is a top priority, and we dedicate substantial resources to help ensure that our customers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employee hygiene and cleanliness failures or improper employee conduct, customers entering our restaurants while ill and contaminating food ingredients or surfaces at our restaurants could lead to product liability or other claims. Such incidents or reports could adversely affect our brand and reputation and could have a material adverse effect on our business, financial condition and results of operations. Similar incidents or reports occurring at competitors in our industry unrelated to us could likewise create negative publicity, which could adversely impact consumer behavior towards us.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food safety controls, procedures and training may not be fully effective in preventing all food safety and public health issues at our restaurants, including any occurrences of pathogens, bacteria, parasites or other toxins infecting our food supply. These potential public health issues, in addition to food tampering, could adversely affect food prices and availability of certain food products, generate negative publicity, and lead to closure of restaurants resulting in a decline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sales or profitability. In addition, there is no guarantee that our restaurant locations will maintain the high levels of internal controls and training we require at our restaurants. Furthermore, our reliance on third-party food processors makes it difficult to monitor food safety compliance and may increase the risk that food-borne illness would affect multiple locations rather than single restaurants. Some food-borne illness incidents could be caused by third-party food suppliers and transporters outside of our control, and may affect multiple restaurant locations as a result. We cannot assure that all food items will be properly maintained during transport throughout the supply chain or that our employees will identify all products that may be spoiled and should not be used in our restaurants. The risk of food-borne illness may also increase whenever our menu items are served outside of our control, such as by third-party food delivery services companies, customer take out or at catered events. We do not have direct control over our third-party suppliers, transporters or delivery services, and may not have visibility into their practices. New illnesses resistant to our current precautions may develop in the future, or diseases with long incubation periods could arise, that could give rise to claims or allegations on a retroactive basis. One or more instances of food-borne illness in one of our company-owned or franchised restaurants could adversely affect sales at all our restaurants if highly publicized, such as on national media outlets or through social media, especially due to the geographic concentration of many of our restaurants. This risk exists even if it were later determined that the illness was wrongly attributed to one of our restaurants.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food safety incidents, whether at our restaurants or involving our business partners, could lead to wide public exposure and negative publicity, which could materially harm our business. A number of other restaurant chains have experienced incidents related to food-borne illnesses that have had material adverse impacts on their operations, and we could experience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although we have followed industry standard food safety protocols in the past and have endeavored to continually enhance our food safety procedures to ensure that our food is as safe as it can possibly be, we may still be at a higher risk for food-borne illness occurrences than some competitors due to our greater use of fresh, unprocessed produce and meats, our reliance on employees cooking with traditional methods rather than automation, and our avoidance of frozen ingredients.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franchisees can have a material adverse effect on our business,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15% and 19% of our system-wide restaurants were franchised as of December 29, 2024 and December 31, 2023, respectively, our results of operations are dependent in part upon the operational and financial success of our franchisees. While we are responsible for ensuring the success of our system-wide restaurants and for taking a long-term view with respect to system-wide improvements, our franchisees have individual business strategies and objectives, which may conflict with our interests. Our franchisees may not be able to secure adequate financing to open or continue operating their restaurants. If they incur too much debt or if economic or sales trends deteriorate such that they are unable to repay existing debt, our franchisees could experience financial distress or even bankruptcy. If a significant number of franchisees become financially distressed or close their restaurants, it could result in reduced franchise revenues, which could have a material adverse effect on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with respect to the operations of our franchisees, which could have a material adverse effect on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Franchisees are independent business operators and are not our employees, and we do not exercise control over the day-to-day operations of the franchised restaurants. We provide training and support to franchisees, and set and monitor operational standards and guidelines, however, because we do not have day-to-day control over the franchisees, our franchisees may operate restaurants in a manner that is not consistent with our standards, guidelines and requirements, or hire and train qualified managers and other restaurant personnel. If franchisees do not operate to our expectations, our image and reputation, and the image and reputation of other franchisees, may suffer,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good relationships with our franchisees due to conflicts of interest or otherwise, revenues could decrease and we may be unable to expand our presence in certain markets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franchisees pay us fees pursuant to our franchise agreements. The viability of our franchise business depends on our ability to maintain good relationships with our franchisees. If we are unable to maintain good relationships with our franchisees, we may be unable to renew franchise agreements, which would result in a decrease in our franchise revenues and our presence in certain markets, which could have a material adverse effect on our business, financial condition and results of operations.</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Franchisees, as independent business operators, may from time to time disagree with us on our strategies regarding the business or our interpretation of our respective rights and obligations under the franchise agreement and the terms and conditions of the franchisee/franchisor relationship. In addition, franchise agreements require us and our franchisees to comply with operational and performance conditions that are subject to interpretation and could result in disagreements. As a result, at any given time, we may be in disputes with one or more of our franchisees. Such disputes may result in legal action against us. To the extent we have such disputes, the attention, time and financial resources of our management and our franchisees will be diverted from our restaurants, which could, even if we prevail, have a material adverse effect on our business, financial condition and results of operations.</w:t>
      </w:r>
    </w:p>
    <w:p>
      <w:pPr>
        <w:spacing w:after="0" w:line="2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contract with one distributor, which we refer to as our “broad line” distributor, to provide virtually all of our food distribution services in the United States. If our broad-line distributor does not adequately perform its obligations or is unable to scale with our business, or our distribution is disrupted for any reason, there could be an adverse effect on our business, financial condition and results of operations. For example, in January 2024, unionized drivers at our broad-line distributor went on strike at a number of distribution centers, which adversely effected our operations and supply chain for several weeks resulting in the incurrence of higher costs and delays in food deliveries.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29, 2024, we purchased substantially all of our pork from two suppliers, substantially all of our eggs from one supplier and all of our coffee from one supplier. We purchase these ingredients pursuant to purchase orders at prevailing market or negotiated contract prices and are not limited by minimum purchase requirements. The cancellation of our supply arrangements with any one of these suppliers or the disruption, delay or inability of these suppliers to deliver these major products to our restaurants or distribution centers due to problems in production or distribution, inclement weather, unanticipated demand, trade restrictions (such as increased tariffs or quotas, embargoes or customs restrictions) or other conditions may materially and adversely affect our results of operations while we establish alternative supplier and distribution channels. Accordingly, although we believe that alternative supply and distribution sources are available, we may not be able to identify or negotiate with such sources on terms that are commercially reasonable to us. If our existing suppliers or distributors are unable to fulfill their obligations under their contracts or we are unable to identify alternative sources, we could encounter supply shortages and incur higher costs, each of which could have a material adverse effect on our business,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our suppliers or distributors fail to comply with food safety or other laws and regulations, or face allegations of non-compliance, their operations may be disrupted. We also could experience shortages of key ingredients if our suppliers need to close or restrict operations due to the impact of a pandemic or other infectious diseases. If our suppliers’ employees are unable to work or our suppliers’ operations are disrupted due to a pandemic or other infectious diseases, we and our franchisees could face shortages of food items or other supplies, and our and our franchisees’ operations and sales could be materially adversely impacted by such supply interruptions. If that were to occur, we may not be able to find replacement suppliers on commercially reasonable terms or a timely basis, if at all.</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More generally, we are subject to additional risks related to the increases to energy or transportation costs. Energy prices are in turn subject to significant volatility caused by, among other things, market fluctuations, supply and demand, currency fluctuations, production and transportation disruptions, geopolitical developments, and other world events, as well as climate change related conditions discussed above. For instance, the Russia-Ukraine war and the Israel-Hamas war could adversely impact, among other things, our raw material, energy and transportation costs, as well as certain of our suppliers, global and local macroeconomic conditions, and cause further supply chain disruptions.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system-wide restaurant base is geographically concentrated in the southeast portion of the United States, and we could be adversely affected by conditions specific to that region.</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in the southeast portion of the United States represented approximately 41% of our system-wide restaurants as of December 29, 2024. Our restaurants in Florida represented approximately 23% of our system-wide restaurants as of December 29, 2024. Adverse changes in demographic, unemployment, economic, regulatory or weather conditions in the southeast portion of the United States have had, and may continue to have, material adverse effects on our business, financial condition and results of operations. As a result of our concentration in this market, we have been, and in the future may be, disproportionately affected by conditions in this geographic area compared to other chain restaurants with a national footprint.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and negative publicity could have a material adverse effect on our business, financial condition and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the quality of our brand are critical to our business and success in existing markets, and will be critical to our success as we enter into new markets. Any incident that erodes consumer loyalty to our brand could significantly reduce its value and damage our business. We may be adversely affected by negative publicity relating to food quality, the safety, sanitation and welfare of our restaurant facilities, customer complaints or litigation alleging illness or injury, health inspection scores, integrity of our or our suppliers’ food processing and other policies, practices and procedures, employee relationships and welfare or other matters at one or more of our restaurants. Any publicity relating to health concerns, perceived or specific outbreaks of infectious diseases attributed to one or more of our restaurants, or non-compliance with government restrictions imposed by federal, state and local governments could result in a significant decrease in customer traffic in all of our restaurants and could have a material adverse effect on our business, financial condition and results of operations. Furthermore, similar negative publicity or occurrences with respect to other restaurants or other restaurant chains could also decrease our customer traffic and have a similar material adverse effect on our business. In addition, incidents of restaurant commentary have increased dramatically with the proliferation of social media platforms. Negative 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including our franchise-owned restaurants. The risk of negative publicity is particularly great with respect to our franchise-owned restaurants because we are limited in the manner in which we can regulate them, especially on a real-time basis and negative publicity from our franchised restaurants may also significantly impact company-owned restaurants. A similar risk exists with respect to food service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or artificial intelligence could have a material adverse effect on our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and new social media platforms are rapidly being developed, potentially making more traditional social media platforms obsolete. As a result, we need to continuously innovate and develop our marketing strategies in order to maintain broad appeal with customers and brand relevance, particularly given the rise in digital orders by customers at home due to the increased work-from-home customer base.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our social media platforms and may be adverse to our reputation or business. This harm may be immediate, without affording us an opportunity for redress or correction. In addition, the rapid evolution and increased adoption of artificial intelligence technologies may affect our customers’ expectations, requirements or tastes in ways we cannot adequately anticipate or adapt to, adversely affect our business financial condition and results of operations, and may require us to develop artificial intelligence-specific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 failures or breaches of our network security could interrupt our operations and have a material adverse effect on our business, financial condition and results of operations.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franchisees rely heavily on our computer systems and network infrastructure across our operations, including point-of-sale processing at our restaurants, for management of our supply chain, accounting, payment of obligations, collection of cash, credit and debit card transactions and other processes and procedures. Our ability to efficiently and effectively manage our business depends significantly on the reliability and capacity of these systems. Our and our franchisees’ operations depend upon our and our franchisees’ ability to protect our computer equipment and systems against damage from physical theft, fire, power loss, telecommunications failure or other catastrophic events, as well as from internal and external security breaches, viruses and other disruptive problems. Any actual or perceived breach in the security of our information technology systems or those of our franchisees and third-party service providers could lead to damage or failure of our computer systems or network infrastructure that causes an interruption in our operations could have a material adverse effect on our business and a significant theft, loss, disclosure, modification or misappropriation of, or access to, guests’, employees’, third parties’ or other proprietary data or other breach of our information technology systems could subject us or our franchisees to litigation or to actions by regulatory authorities. Furthermore, at various times we have allowed certain of our team members in our corporate headquarters to work from home. Remote working, particularly for an extended period of time, could increase certain risks to our business, including an increased risk of cybersecurity events, vulnerability of our systems and improper dissemination of confidential or personal information, if our physical and cybersecurity measures or our corporate policies are not effective. The costs to us to protect against any of the foregoing cybersecurity vulnerabilities or to address a cyber-incident could be significant and have a material adverse impact on our business, financial condition and results of operations.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Security incidents or breaches have from time to time occurred and may in the future occur involving our systems, the systems of the parties with whom we communicate or collaborate (including franchisees) or the systems of third-party providers. Certain of these technology systems contain personal, financial and other information of our customers, employees, franchisees and their employees, suppliers and other third parties, as well as financial, proprietary and other confidential information related to our business. 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franchisees,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compromising such information. Third parties may have the technology or know-how to breach the security of the information collected, stored, or transmitted by us or our franchisees, and our respective security measures, as well as those of our technology vendors, may not effectively prohibit others from obtaining improper access to this information. Advances in computer and software capabilities and encryption technology, new tools, and other developments may increase the risk of such a breach or compromise. The rapid evolution and increased adoption of artificial intelligence technologies may intensify our cybersecurity risks. Despite response procedures and measures in place in the event of an incident, a security breach could result in disruptions, shutdowns, or the theft or unauthorized disclosure of such information. The actual or alleged occurrence of any of these incidents could result in mitigation costs, reputational damage, adverse publicity, loss of consumer confidence, reduced sales and profits, complications in executing our growth initiatives and regulatory and legal risk, including criminal penalties or civil liabilities.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continuing to expand, upgrade and develop our information technology capabilities. If we are unable to successfully upgrade or expand our technological capabilities, we may not be able to take advantage of market opportunities, manage our costs and transactional data effectively, satisfy customer requirements, execute our business plan or respond to competitive pressures.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and state laws and regulations relating to privacy, data protection, advertising and consumer protection, or the expansion of current or the enactment of new laws or regulations relating to privacy, data protection, advertising and consumer protection, could have a material adverse effect on our business, financial condition and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requires the collection, transmission and retention of large volumes of customer and employee data, including credit and debit card numbers and other personally identifiable information, in various information technology systems that we and our franchisees maintain, and in those maintained by our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standards for systems currently used for transmission and approval of electronic payment transactions, and the technology utilized in electronic payment themselves, all of which can put electronic payment data at risk, are determined and controlled by the payment card industry, not by us. For example, we are subject to industry requirements such as the Payment Card Industry Data Security Standard, or PCI-DSS, as well as certain other industry standards. Any failure to comply with these rules and/or requirements could significantly harm our brand, reputation, business and results of operations, and in the case of PCI-DSS, could result in monetary penalties and/or the exclusion from applicable card brands. We also rely on independent service providers for payment processing, including payments made using credit and debit cards. If these independent service providers become unwilling or unable to provide these services to us or if the cost of using these providers increases, our business could be harmed.</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 A variety of federal and state laws and regulations govern the collection, use, retention, sharing and security of consumer data, particularly in the context of digital marketing, which we rely upon to attract new customers. We are, and may increasingly become, subject to other various laws, directives, industry standards and regulations, as well as contractual obligations, relating to data privacy and security in the jurisdictions in which we operate. The information, security and privacy requirements imposed by governmental regulation are increasingly demanding and are subject to potentially differing interpretations. Laws and expectations relating to privacy continue to evolve, and we continue to adapt to changing needs. For example, the definition of “personal information” or “personal data” under newer privacy laws is much broader than the definition of “personally identifiable information” that appears in older privacy laws, and many jurisdictions have or will soon enact new privacy laws. Specifically, certain states in which we operate or may operate in the future have enacted or may soon enact comprehensive privacy laws that may be more stringent or broader in scope, or offer greater individual rights, with respect to personal information than current federal, international or other state laws, and such laws may differ from each other, all of which may complicate compliance efforts. The California Consumer Privacy Act (“CCPA”), for example, requires, among other things, covered companies to provide new disclosures to California consumers and allows such consumers new abilities to opt-out of certain sales of personal data. The CCPA also provides for civil penalties for violations as well as a private right of action for data breaches that may increase data breach litigation. Further, the California Privacy Rights Act, which became fully effective in January 2023, significantly modifies the CCPA. Colorado, Connecticut, Colorado, Delaware, Iowa, Montana, Nebraska, New Hampshire, New Jersey, Oregon, Texas, Utah and Virginia have enacted similar data privacy legislation and Indiana, Kentucky, Maryland, Minnesota, Rhode Island and Tennessee have enacted similar data privacy legislation that will take effect at various points in 2025 and beyond. Several other states and countries are considering expanding or passing privacy laws in the near term. These laws and regulations have required and will require us to incur additional costs and expenses in our effort to comply. Our failure to adhere to or successfully implement appropriate processes to adhere to the requirements of evolving laws and regulations in this area could expose us and our franchisees to financial penalties and legal liability. Our and our franchisees’ systems may not be able to satisfy these changing requirements and customer and employee expectations, or may require significant additional investments or time in order to do so.</w:t>
      </w: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or consumer protection or any inadvertent or unauthorized use or disclosure of data that we store or handle as part of operating our business.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Many applications and other devices allow consumers to avoid receiving advertisements by paying for subscriptions or other downloads.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with our gift cards under the property laws of some states.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received a letter, dated February 21, 2022, from the Delaware Secretary of State inviting us to participate in the Delaware Secretary of State’s Abandoned or Unclaimed Property Voluntary Disclosure Agreement Program to avoid being sent an audit notice by the Delaware Department of Finance. On August 31, 2022, the Company was accepted into Delaware’s Voluntary Disclosure Agreement Program, entitling it to certain benefits and protections offered to participants in the program. We intend to continue to work in good faith to complete a review of our books and records related to unclaimed or abandoned property during the periods required under the program. In the fourth quarter of 2023, the Company recorded a charge of $0.8 million for estimated probable losses that might arise from this matter. In the second quarter of 2024, the Company paid $0.7 million to the State of Delaware to resolve escheat matters related to unclaimed gift card balances.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not currently required to remit any amounts relating to future unredeemed gift cards to states as our subsidiary that is the issuer of our gift cards was re-domiciled in Florida on December 9, 2022, a jurisdiction which exempts gift cards from the abandoned and unclaimed property laws. If this exemption was no longer available to us, our financial condition and results of operations could be adversely affected. We recognize income from unredeemed cards when we determine that the likelihood of the cards being redeemed is remote and that recognition is appropriate based on governing state statutes.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enforce and maintain our trademarks and protect our other intellectual property could have a material adverse effect on our business, including our ability to establish and maintain brand awareness.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registered First Watch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certain other names, logos and slogans used by our restaurants as trademarks or service marks with the USPTO. The First Watch</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trademark is also registered in Canada. In addition, the First Watch logo, website domain name and Facebook and Instagram accounts are our intellectual property. The success of our business strategy depends on our continued ability to use our existing trademarks and service marks in order to increase brand awareness and develop our branded products. If our efforts to protect our intellectual property are not adequate, or if 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third-party misappropriates or infringes on our intellectual property, whether in print, on the Internet or through other media, the value of our brands may be adversely affected, which could have a material adverse effect on our business, including the failure of our brands and branded products to achieve and maintain market acceptance.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or our suppliers maintain the seasonings and additives for our menu items, as well as certain standards, specifications and operating procedures, as trade secrets or confidential information. We may not be able to prevent the unauthorized disclosure or use of our trade secrets or confidential information, despite the existence of confidentiality agreements and other measures. If any of our trade secrets or information were to be disclosed to or independently developed by a competitor, it could have a material adverse effect on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with respect to intellectual property assets, if decided against us, may result in competing uses or require adoption of new, non-infringing intellectual property, which may in turn adversely affect sales and revenues.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from time to time, assert infringement or misappropriation claims against us, or assert claims that our rights in our trademarks, service marks, trade names and other intellectual property assets are invalid or unenforceable. Any such claims could have a material adverse effect on us or our franchisees if such claims were to be decided against us. If our rights in our intellectual property were invalidated or deemed unenforceable, we may not be able to prevent third parties from using such intellectual property or similar intellectual property to compete with us, which, in turn, could lead to a decline in our brand and the goodwill associated therewith and the results of operations. If our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 We may also from time to time be required to institute litigation to enforce our trademarks, service marks and other intellectual property. Any such litigation could result in substantial costs and diversion of resources and could have a material adverse effect on our business, financial condition and results of operations regardless of whether we are able to successfully enforce our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and the Workforce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qualified individuals for our workforce could slow our growth and adversely impact our ability to operate our restaurants.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managers and employees to meet the needs of our existing restaurants and to staff new restaurants. A sufficient number of qualified individuals to fill these positions may be in short supply in some communities. Competition in these communities for qualified staff could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could have a material adverse effect on our business, financial condition and results of operations. Any such inability could also delay the planned openings of new restaurants and could adversely impact our existing restaurants. The inability to retain or recruit qualified employees, increased costs of attracting qualified employees or delays in restaurant openings could have a material adverse effect on our business, financial condition and results of operations.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restaurant industry has experienced aggressive competition for talent, wage inflation and pressure to improve benefits and workplace conditions to remain competitive. In addition, our existing wages and benefits programs, combined with the highly competitive wage pressure resulting from the labor shortage, may be insufficient to attract and retain the best talent. Our failure to recruit and retain new restaurant employees in a timely manner or higher employee turnover levels all could affect our ability to open new restaurants and grow sales at existing restaurants, and we may experience higher than projected labor costs.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corporate culture as we grow could have a material adverse effect on our business, financial condition and results of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corporate culture.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adversely impact our operations, including our ability to retain and recruit personnel and to effectively focus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and pursue our corporate objectives. If we cannot maintain our corporate culture as we grow, it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Unionization activities may disrupt our operations and increase our costs.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employees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activities, including environmental, social and governance matters, could result in reputational risks, increased costs and other risks.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customers, investors, lenders, regulators and other industry stakeholders have placed increasing importance on corporate ESG practices, which could cause us to incur additional costs and changes to our operations. If our ESG practices or disclosures do not meet stakeholders’ evolving expectations and standards, our customer and employee retention, our access to certain types of capital, and our brand and reputation may be adversely impacted, which could affect our business operations and financial condition. We could also incur additional costs and require additional resources to monitor, report and comply with various ESG practices, laws and regulations, which could increase our operating costs and affect our results of operations and financial condition. In addition, from time to time, we may communicate certain initiatives regarding climate change, animal welfare and other ESG matters. We could fail or be perceived to fail to achieve such initiatives, which may adversely affect our reputation. The future adoption of new technology or processes to achieve such initiatives could also result in the impairment of existing assets. At the same time, stockholders and regulators have increasingly expressed opposing views and expectations with respect to ESG initiatives, including the enactment of “Anti-ESG” legislation or policies.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Matters relating to employment and labor law could have a material adverse effect on our business, financial condition and results of operations and restaurant companies have been the target of class action lawsuits and other proceedings alleging violations of workplace and employment laws. Proceedings of this nature are costly, divert management attention and, if successful could result in our payment of substantial damages or settlement costs.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relationships with our employees.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employment eligibility verification requirements, workers’ compensation rates, overtime, family leave, working conditions, safety standards, immigration status, unemployment tax rates, state and local payroll taxes, federal and state laws which prohibit discrimination, citizenship requirements and other wage and benefit requirements for employees classified as non-exempt. Significant additional government regulations and new laws, including mandated increases in minimum wages, changes in exempt and non-exempt status, or mandated benefits such as health insurance could have a material adverse effect on our business, financial condition and results of operations.</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or others through private actions, class actions, administrative proceedings, regulatory actions or other litigation. Moreover, employment and labor claims asserted against franchisees may at times be made against us as a franchisor. The outcome of litigation, particularly class action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customer traffic and sales. Although we maintain what we believe to be adequate levels of insurance, insurance may not be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 Additionally, if we or our franchisees are unable to properly identify unauthorized workers, such workers will be subject to deportation and may subject us to fines or penalties. If any of our workers are found to be unauthorized, we could experience adverse publicity that may adversely impact our brand, disrupt our operations, make it more difficult to hire and keep qualified employees, cause temporary increases in our labor costs as we train new employees and result in adverse publicity.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party to litigation that could distract management, increase our expenses or subject us to material monetary damages or other remedies.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customers occasionally file complaints or lawsuits against us alleging we caused an illness or injury they suffered at or after a visit to our restaurants, or that we have problems with food quality or operations. We may also be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become subject to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adversely impact our reputation, which could have a material adverse effect on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our franchisees face labor shortages or increased labor costs or health care costs, it could have a material adverse effect on our business,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is a primary component in the cost of operating our restaurants. If we or our franchisees face labor shortages or increased labor costs because of increased competition for employees, higher employee-turnover rates, unionization of restaurant workers, or increases in the federally-mandated or state-mandated minimum wage, change in exempt and non-exempt status, unemployment tax rates, workers’ compensation rates, overtime, family leave, safety standards, payroll taxes, citizenship requirements or other employee benefits costs (including costs associated with health insurance coverage or workers’ compensation insurance), our operating expenses could increase and our growth could be adversely affected.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substantial number of hourly employees who are paid wage rates at or based on the applicable federal or state minimum wage and increases in the minimum wage will increase our labor costs and the labor costs of our franchisees. Additionally, we operate in states and localities where the minimum wage is significantly higher than the federal minimum wage and in such areas our staff members receive minimum compensation equal to the state’s or locality’s minimum wage. In other geographic areas, some of our staff members may be paid a tip credit wage that is supplemented by gratuities received from our customers. We rely on our employees to accurately disclose the full amount of their tip income, and we base our Federal Insurance Contributions Act tax reporting on the disclosures provided to us by such employees. Increases in the tip credit minimum wage in these states or localities, or under federal law, may have a material adverse effect on our labor costs, and our financial performance. Increases in federal or state minimum wage may also result in increases in the wage rates paid for non-minimum wage positions. We may be unable to increase our menu prices in order to pass future increased labor costs on to our customers, in which case our operating margins would be adversely affected. If menu prices are increased by us or our franchisees to cover increased labor costs, the higher prices could adversely affect demand for our menu items, resulting in lower sales and decreased franchise revenues.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leasing property subject to long-term and non-cancelable leases and may be unable to renew leases at the end of their terms.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restaurant leases are non-cancelable and typically have initial terms of 10 years, providing for two to four renewal options of five years each as well as rent escalations. Generally, our leases are triple-net leases that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are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construction costs related to leasehold improvements and other costs and risks. Additionally, the revenues and profit, if any, generated at a relocated restaurant may not equal the revenues and profit generated at the existing restaurant.</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continue to devote a substantial amount of time to these compliance initiatives. As a result, management’s attention may be diverted from other business concerns, which could harm our business and results of operations. We will need to hire more employees in the future to comply with these requirements, which will increase our costs and expenses.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the requirements of being a public company, including the Sarbanes-Oxley Act, we have undertaken and will need to continue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and the imposition of minimum taxes or surtaxes on certain types of income. No specific United States tax legislation has been proposed at this time and the likelihood of these changes being enacted or implemented is unclear. We are currently unable to predict whether such changes will occur. If such changes are enacted or implemented, we are currently unable to predict the ultimate impact on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related to our sale of alcoholic beverages.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serve alcoholic beverages at our restaurants.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patrons and employees, hours of operation, advertising, trade practices, wholesale purchasing, other relationships with alcoholic beverages manufacturers, wholesalers and distributors, inventory control and handling, storage and dispensing of alcoholic beverages. Any future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regulations and obtain or retain licenses could have a material adverse effect on our business, financial condition and results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in certain states to “dram shop” statutes, which generally provide a person injured by an intoxicated person the right to recover damages from an establishment that wrongfully served alcoholic beverages to the intoxicated person. Recent litigation against restaurant chains has resulted in significant judgments and settlements under dram shop statutes. Because these cases often seek punitive damages, which may not be covered by insurance, such litigation could 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many federal, state and local laws with which compliance is both costly and complex.</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restaurant industry is subject to extensive federal, state and local laws and regulations, including those relating to the environment,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due to such regulations,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also subject to extensive laws and regulations relating to public company compliance, disclosure and governance matters, including accounting and tax regulations, SEC and Nasdaq disclosure requirements, as further discussed below. 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Americans with Disabilities Act, which, among other things, requires our restaurants to meet federally mandated requirements for the disabled, could require us to expend significant funds to make modifications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our restaurants if we failed to comply with applicable standards. Compliance with all these laws and regulations can be costly and can increase our exposure to litigation or governmental investigations or proceedings.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Accounting and Financial Reporting Matters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in the carrying value of our goodwill or indefinite-lived intangible assets could have a material adverse effect on our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29, 2024, we had $398.6 million of goodwill and $139.2 million of indefinite-lived intangible assets. We test goodwill and indefinite-lived intangible assets for impairment annually on the first day of the fourth quarter of each fiscal year and whenever events or changes in circumstances indicate that impairment may have occurred. We performed a qualitative annual impairment assessment of goodwill and indefinite-lived intangible assets on the first day of the fourth quarter of 2024. Based on the results of the qualitative assessment, we did not perform a quantitative assessment and no impairment was recognized in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accurately predict the amount and timing of any impairment of assets and an impairment test in the future may indicate that an impairment has occurred. In the event that the book value of goodwill or other indefinite-lived intangible assets is impaired, any such impairment would be charged to earnings in the period of impairment and could have a material adverse effect on our financial condition and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estimates related to our long-lived assets and definite-lived intangible assets or operating results that are lower than our current estimates at certain restaurant locations may cause us to incur impairment losses on certain long-lived assets, which may adversely affect our results of operations.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estimates related to our property, fixtures and equipment and definite-lived intangible assets or operating results that are lower than our current estimates at certain restaurant locations may cause us to incur impairment losses or accelerate the amortization on certain long-lived assets, which may adversely affect our financial condition and results of operations.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which could result in us failing to prevent or detect material misstatements of our consolidated financial statements due to error or fraud.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adversely impact the market value of our common 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Section 404 of the Sarbanes-Oxley Act (“Section 404”) in accordance with the rules and regulations of the SEC, which requires management to certify financial and other information in our quarterly and annual reports and provide an annual management report on the effectiveness of our internal control over financial reporting. In addition, under Section 404 our independent registered public accounting firm will also need to attest to the effectiveness of our internal control over financial reporting in the future to the extent that we are no longer an emerging growth company, as defined in the Jumpstart Our Business Startups Act (the “JOBS Act”). To comply with the rules and regulations of the SEC, we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described in Part II Item 9A of this Form 10-K, in connection with the preparation of our consolidated financial statements, we identified material weaknesses in our internal control over financial reporting, which could result in misstatement of the consolidated financial statements that would result in a material misstatement to the annual or interim consolidated financial statements that would not be prevented or detected.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taken certain measures to remediate the material weaknesses. See Item 9A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have a material adverse effect on our business,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amounts of our term loans outstanding was $193.8 million, excluding unamortized debt discount and deferred issuance costs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2024. Our indebtedness could have significant effects on our business, such as:</w:t>
      </w:r>
    </w:p>
    <w:p>
      <w:pPr>
        <w:spacing w:after="0" w:line="234" w:lineRule="exact"/>
        <w:rPr>
          <w:sz w:val="20"/>
          <w:szCs w:val="20"/>
          <w:color w:val="auto"/>
        </w:rPr>
      </w:pPr>
    </w:p>
    <w:p>
      <w:pPr>
        <w:ind w:left="820" w:hanging="326"/>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9" w:lineRule="exact"/>
        <w:rPr>
          <w:rFonts w:ascii="Times New Roman" w:cs="Times New Roman" w:eastAsia="Times New Roman" w:hAnsi="Times New Roman"/>
          <w:sz w:val="18"/>
          <w:szCs w:val="18"/>
          <w:color w:val="auto"/>
        </w:rPr>
      </w:pPr>
    </w:p>
    <w:p>
      <w:pPr>
        <w:ind w:left="820" w:right="20" w:hanging="326"/>
        <w:spacing w:after="0" w:line="260"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adversely affect our financial condition and results of operations.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22,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accompanying notes to the consolidated financial statements included in Item 8 of Part II of this Form 10-K for additional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comply with the covenants under our Credit Agreement or the volatile credit and capital markets could have a material adverse effect on our financial condition.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manage our debt is dependent on our level of positive cash flow from company-owned and franchise-owned restaurants. An economic downturn may adversely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our Credit Agreement for our debt facilities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 and Organizational 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Advent may conflict with our interests or the interests of the holders of our common stock in the future.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Advent engages in a range of investing activities, including investments in restaurants and other consumer-related companies in particular. In the ordinary course of its business activities, Advent may engage in activities where its interests conflict with our interests or those of our stockholders. Our amended and restated certificate of incorporation contains provisions renouncing any interest or expectancy held by our directors affiliated with Advent in certain corporate opportunities. Accordingly, the interests of Advent may supersede ours, causing them or their affiliates to compete against us or to pursue opportunities instead of us, for which we have no recourse. Such actions on the part of Advent and inaction on our part could have a material adverse effect on our business, financial condition and results of operations. In addition, Advent may have an interest in pursuing acquisitions, divestitures and other transactions that, in its judgment, could enhance its investment in us, even though such transactions might involve risks to you, such as debt-financed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First Watch Restaurant Group, Inc. is a holding company with no operations and relies on its operating subsidiaries to provide it with funds necessary to meet its financial obligations and to pay dividends.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First Watch Restaurant Group, Inc. is a holding company with no material direct operations. First Watch Restaurant Group, Inc.’s principal assets are the equity interests it indirectly holds in its operating subsidiaries which own our operating assets. As a result, First Watch Restaurant Group, Inc. is dependent on loans, dividends and other payments from its operating subsidiaries to generate the funds necessary to meet its financial obligations and to pay dividends on its common stock. Its subsidiaries are legally distinct from First Watch Restaurant Group, Inc. and may be prohibited or restricted from paying dividends, including pursuant to the restrictions contained in our Credit Agreement, or otherwise making funds available to us under certain conditions. Although First Watch Restaurant Group, Inc. does not expect to pay dividends on its common stock for the foreseeable future, if it is unable to obtain funds from its subsidiaries, it may be unable to, or its Board may exercise its discretion not to, pay dividends.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have taken and may continue to take advantage of some of these exemptions. If we do, we do not know if some investors will find our common stock less attractive as a result. The result may be a less-active trading market for our common stock and our stock price may be more volatile.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remain an emerging growth company for up to five years after our IPO, which took place in September 2021, or until the earliest of (a) the last day of the first fiscal year in which our annual gross revenues exceed $1.235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$1.0 billion in non-convertible debt securities in the preceding three-year period.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more difficult to, or prevent a third party from, acquiring control of us without the approval of our Board. Among other things, these provisions:</w:t>
      </w:r>
    </w:p>
    <w:p>
      <w:pPr>
        <w:spacing w:after="0" w:line="207" w:lineRule="exact"/>
        <w:rPr>
          <w:sz w:val="20"/>
          <w:szCs w:val="20"/>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with staggered three-year terms;</w:t>
      </w:r>
    </w:p>
    <w:p>
      <w:pPr>
        <w:spacing w:after="0" w:line="27"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the sole power of a majority of the Board to fix the number of directors;</w:t>
      </w:r>
    </w:p>
    <w:p>
      <w:pPr>
        <w:spacing w:after="0" w:line="9"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power of our Board to fill any vacancy on our Board, whether such vacancy occurs as a result of an increase in the number of directors or otherwise;</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without any need for action by stockholders;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on by stockholders at stockholder meetings.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credit agreement for our debt facilities imposes,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common stock ownership by Advent could impede a merger, takeover, or other business combination, or discourage a potential investor from making a tender offer for our common stock, which, under certain circumstances, could reduce the market value of our common stock.</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of America as the sole and exclusive forum for claims arising under the Securities Act of 1933, as amended, which, in each case, could limit our stockholders’ ability to obtain a favorable judicial forum for disputes with us or our directors, officers, employees, agents or other stockholders.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provision. To the fullest extent permitted by law, any person or entity purchasing or otherwise acquiring or holding any interest in any shares of our capital stock shall be deemed to have notice of and consented to the forum selection.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have a material adverse effect on the market price of our common stock.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including senior or subordinated notes, debt securities convertible into equity or shares of preferred stock.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 Preferred shares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 Although we are no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longer a “controlled company” within the meaning of the rules of the Nasdaq, Advent continues to exert substantial influence over us.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29, 2024, Advent indirectly beneficially owned approximately 32% of our outstanding common stock. Although we are no longer a “controlled company” within the meaning of the Nasdaq listing rules, Advent beneficially owns shares sufficient to significantly influence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expect to declare or pay any cash or other dividends in the foreseeable future on our common stock because we intend to use cash flow generated by operations to grow our business. Our credit agreement for our debt facilities restricts our ability to pay cash dividends on our common stock. We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be adversely affected by sales of substantial amounts of our common stock in the public markets.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issued and outstanding shares, all the common stock sold in our initial public offering is freely transferable, except for any shares held by our “affiliates,” as that term is defined in Rule 144 under the Securities Act. As of December 29, 2024, approximately 32% of our outstanding common stock was indirectly beneficially owned by Advent, and can be resold into the public markets in the future in accordance with the requirements of Rule 144.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decline significantly in connection with any sales by Advent of its common stock. A decline in the price of our common stock might impede our ability to raise capital through the issuance of additional common stock or other equity securities.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the First Watch Restaurant Group, Inc. 2021 Equity Incentive Plan (the “2021 Equity Plan”) and the First Watch Restaurant Group, Inc. 2017 Omnibus Equity Incentive Plan (the “2017 Equity Plan”) will dilute all other stockholdings.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29, 2024, we had an aggregate of 12,554,366 shares of common stock authorized for issuance under the 2021 Equity Plan and 2017 Equity Plan. Additionally, the 2021 Equity Plan contains an “evergreen provision,” pursuant to which the aggregate number of shares available for issuance will automatically increase on the first day of each fiscal year, beginning on December 26, 2022 and continuing for each fiscal year until, and including, the fiscal year ending on (and including) December 30, 2030. While we do not intend to grant any further awards under the 2017 Equity Plan, we may issue all the shares underlying the awards granted under the 2017 Equity Plan and all of the shares authorized for issuance under the 2021 Equity Plan without any action or approval by our stockholders, subject to certain exceptions. Any common stock issued in connection with the 2021 Equity Plan or the 2017 Equity Plan would dilute the ownership percentage held by existing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certain other key employees, the loss of whom could have a material adverse effect on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the accumulated knowledge, skills and experience of our executive officers and certain other key employees.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adversely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business growth and this capital might not be available.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or opportunities, including the need to open additional restaurants, develop new menu items or enhance our existing menu items, and enhance our operating infrastructure. Accordingly, we may need to engage in equity or debt financings to secure additional funds. In addition, we may not be able to obtain additional financing on terms favorable to us, if at all. Volatility in the financial markets like we are currently experiencing could affect our ability to access capital markets at a time when we desire, or need, to do so, which could have an impact on our flexibility to pursue additional expansion opportunities and maintain our desired level of revenue growth in the future. If we are unable to obtain adequate financing or financing on terms satisfactory to us when we require it, our ability to continue to support our business growth and to respond to business challenges could be significantly limited,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applicable to us could have a material adverse effect on our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levels of coverage against claims.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deploy a cybersecurity program modelled on Center for Internet Security (CIS) Critical Security Controls, commonly referred to as CIS Controls. We believe our program’s control focus provides immediate protection and scalability for our business. Our program defines our governance and management oversight, and includes (i) continual training to enhance user vigilance and resistance to phishing attempts and cyber-attacks, (ii) evaluation of compliance with privacy and data security regulations and (iii) reporting obligations in the event of an incident. As part of our program, we partner with a security operations center for continuous monitoring and alerting across all of our information technology systems. Additionally, our Information Technology leadership meets monthly with a cyber advisor to review progress on tools, scoring and management of our cybersecurity programs.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an annual basis, we engage an external partner to conduct a comprehensive risk assessment of our cybersecurity program, identify gaps based on best practices and recommend improvements. We have also developed vendor scoring criteria to assess cybersecurity, incidence readiness and cyber insurance of our critical vendors and service providers. Additionally, we conduct ongoing internal and external vulnerability and penetration scans. Our internal security team is led by a manager with over 40 years of experience who reports directly to our Chief Information Officer.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incidents or breaches have from time to time occurred and may in the future occur involving our systems, the systems of the parties with whom we communicate or collaborate (including franchisees) or the systems of third-party providers. As of the date of this Annual Report on Form 10-K, we have not experienced cybersecurity threats or incidents that have materially affected us. However, any actual or perceived breach in the security of our information technology systems or those of our franchisees or our critical vendors and service providers could lead to damage to or failure of our computer systems or network infrastructure which could cause an interruption in our operations and could have a material adverse effect on our business. Furthermore, a significant theft, loss, disclosure, modification or misappropriation of, or access to, guests’, employees’, third parties’ or other proprietary data or other breach of our information technology systems could subject us or our franchisees to litigation or to actions by regulatory authorities. See also Item 1A. “</w:t>
      </w:r>
      <w:r>
        <w:rPr>
          <w:rFonts w:ascii="Times New Roman" w:cs="Times New Roman" w:eastAsia="Times New Roman" w:hAnsi="Times New Roman"/>
          <w:sz w:val="18"/>
          <w:szCs w:val="18"/>
          <w:i w:val="1"/>
          <w:iCs w:val="1"/>
          <w:color w:val="auto"/>
        </w:rPr>
        <w:t>Risk Factors - Risks Related to Information Technology and Intellectual Property—Information technology system failures or breaches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network security could interrupt our operations and have a material adverse effect on our business, financial condition and results of operations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is tasked with oversight of certain risk issues, including cybersecurity. The Audit Committee receives reports on cybersecurity at least twice annually from the Company’s Chief Information Officer, who has over 25 years of experience in the management of information technology systems and cybersecurity. These reports cover trends vulnerability management, cybersecurity posture, risk assessment findings, incident responses and updates on technology initiatives. The Audit Committee briefs the full Board of Directors on these matters as a part of its reports of its meetings.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lease all our company-owned restaurant locations. As of December 29, 2024, we had 489 company-owned restaurants and 83 franchise-owned restaurants located in 29 states, including a large presence in Florida, Texas, Ohio, North Carolina and Arizona. As of December 29, 2024, company-owned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franchise-owned restaurants by jurisdiction were: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Company-owned</w:t>
            </w: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Franchise-owned</w:t>
            </w: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Nasdaq under the symbol “FWRG.”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7, 2025, there were 25 stockholders of record of our common stock. The number of record holders does not include persons who held shares of our common stock in nominee or “street name” accounts through brokers.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intend to pay cash dividends on our common stock in the foreseeable future. However, in the future, subject to the factors described below and our future liquidity and capitalization, we may change this policy and choose to pay dividends. Additionally, our ability to pay dividends is currently restricted by the terms of our Credit Agreement.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our ability to pay cash dividends on our common stock is dependent upon cash dividends and distributions and other transfers from our subsidiaries.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 Any future determination to pay dividends will be at the discretion of our Board and will take into account: (i) restrictions in our debt instruments, including our Credit Agreement; (ii) general economic business conditions; (iii) our earnings, financial condition, and results of operations; (iv) our capital requirements; (v) our prospects; (vi) legal restrictions; and (vii) such other factors as our Board may deem relevant.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Stock Performance Graph</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graph compares the cumulative annual stockholders return on our common stock from October 1, 2021, the date our common stock began trading on Nasdaq, through December 29, 2024, to that of the total return index for the Nasdaq Composite Index and the S&amp;P Restaurants Index assuming an investment of $100 on October 1, 2021. The graph uses the closing market price on October 1, 2021 of $22.13 per share as the initial value of our common stock. In calculating total annual stockholder return, reinvestment of dividends, if any, is assumed. The indices are included for comparative purposes only. They do not necessarily reflect Management’s opinion that such indices are an appropriate measure of the relative performance of our common stock. The values shown are neither indicative nor determinative of future performance. Information used in the graph and table was obtained from Zacks Investment Research, a source believed to be reliable, but we are not responsible for any errors or omissions in such information. 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657850" cy="2802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1, 2021</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26, 2021</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25, 2022</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December 29, 2024</w:t>
            </w: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Watch Restaurant Group, Inc.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90.80</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84.46</w:t>
            </w:r>
          </w:p>
        </w:tc>
      </w:tr>
      <w:tr>
        <w:trPr>
          <w:trHeight w:val="22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Nasdaq Composite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19"/>
                <w:szCs w:val="19"/>
                <w:color w:val="auto"/>
              </w:rPr>
            </w:pPr>
          </w:p>
        </w:tc>
        <w:tc>
          <w:tcPr>
            <w:tcW w:w="6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107.62</w:t>
            </w:r>
          </w:p>
        </w:tc>
        <w:tc>
          <w:tcPr>
            <w:tcW w:w="80" w:type="dxa"/>
            <w:vAlign w:val="bottom"/>
          </w:tcPr>
          <w:p>
            <w:pPr>
              <w:spacing w:after="0"/>
              <w:rPr>
                <w:sz w:val="19"/>
                <w:szCs w:val="19"/>
                <w:color w:val="auto"/>
              </w:rPr>
            </w:pP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72.77</w:t>
            </w:r>
          </w:p>
        </w:tc>
        <w:tc>
          <w:tcPr>
            <w:tcW w:w="100" w:type="dxa"/>
            <w:vAlign w:val="bottom"/>
          </w:tcPr>
          <w:p>
            <w:pPr>
              <w:spacing w:after="0"/>
              <w:rPr>
                <w:sz w:val="19"/>
                <w:szCs w:val="19"/>
                <w:color w:val="auto"/>
              </w:rPr>
            </w:pP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104.97</w:t>
            </w:r>
          </w:p>
        </w:tc>
        <w:tc>
          <w:tcPr>
            <w:tcW w:w="100" w:type="dxa"/>
            <w:vAlign w:val="bottom"/>
          </w:tcPr>
          <w:p>
            <w:pPr>
              <w:spacing w:after="0"/>
              <w:rPr>
                <w:sz w:val="19"/>
                <w:szCs w:val="19"/>
                <w:color w:val="auto"/>
              </w:rPr>
            </w:pP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138.90</w:t>
            </w:r>
          </w:p>
        </w:tc>
      </w:tr>
      <w:tr>
        <w:trPr>
          <w:trHeight w:val="23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Restaurants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95.74</w:t>
            </w:r>
          </w:p>
        </w:tc>
      </w:tr>
    </w:tbl>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section and other parts of this Annual Report on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industry outlook, our expectations for the future of our business and our liquidity and capital resources as well as other non-historical statements.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Our actual results may differ materially from those contained in or implied by these forward-looking statements.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on current expectations and are subject to numerous risks and uncertainties. All forward-looking statements are expressly qualified in their entirety by these cautionary statements. You should evaluate all forward-looking statements made in this Annual Report on Form 10-K in the context of the risks and uncertainties disclosed in Part I, Item 1A of this Annual Report on Form 10-K under the heading “Risk Factors” and in this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Annual Report on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The Company’s common stock trades on Nasdaq under the ticker symbol “FWRG.” A recipient of hundreds of local “Best Breakfast” and “Best Brunch” accolades, First Watch’s award-winning chef-driven menu includes elevated executions of classic favorites for breakfast, brunch and lunch. For three consecutive years, First Watch was named a Top 100 Most Loved Workplace® by Newsweek and the Best Practice Institute, and in 2024, was named the #1 Most Loved Workplace. In 2023, First Watch was named the top restaurant brand in Yelp’s inaugural list of the top 50 most-loved brands in the United States. In 2022, First Watch was recognized with ADP’s coveted Culture at Work Award.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29 states under the “First Watch” trade name and as of December 29, 2024, the Company had 489 company-owned restaurants and 83 franchise-owned restaurants. The Company does not operate outside of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52- or 53-week fiscal years end on the last Sunday of each calendar year. Its fiscal quarters are comprised of 13 weeks each and end on the 13th Sunday of each quarter, save for 53-week years during which the fourth quarter ends on the 14th Sunday of the fourth quarter. All references to 2024 and 2022 reflect the results of the 52-week fiscal year ended December 29, 2024 and December 25, 2022. All references to 2023 reflect the results of the 53-week fiscal year ended December 31, 2023. We report financial and operating information in one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year ended 2024, this operating metric compares the 52-week period ended December 29, 2024 with the 52-week period ended December 31, 2023, versus the 53-week fiscal year ended December 31, 2023, in order to compare like-for-like periods. For the 52-weeks ended December 29, 2024 and December 31, 2023, there were 344 restaurants and 327 restaurants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for the 52-week period ended December 29, 2024 as compared to the 52-week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ended December 31, 2023 using the Comparable Restaurant Base, versus the 53-week fiscal year ended December 31, 2023 in order to compare like-for-like periods. Measuring our same-restaurant traffic growth allows Management to evaluate the performance of our existing restaurant base. We believe this measure is useful for investors because same-restaurant traffic provides an indicator as to the development of our brand and the effectiveness of our marketing strategy.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Unit Volume </w:t>
      </w:r>
      <w:r>
        <w:rPr>
          <w:rFonts w:ascii="Times New Roman" w:cs="Times New Roman" w:eastAsia="Times New Roman" w:hAnsi="Times New Roman"/>
          <w:sz w:val="18"/>
          <w:szCs w:val="18"/>
          <w:color w:val="auto"/>
        </w:rPr>
        <w:t>(“AUV”): the total restaurant sales (excluding gift card breakage) recognized in the Comparable Restaurant Base, divided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restaurants in the Comparable Restaurant Base during the period. This measurement allows Management to assess changes in consumer spending patterns at our restaurants and the overall performance of our restaurant base.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operating restaurants, individually, and in the aggregate, (ii) to compare the performance of our restaurants and markets and (iii) to make decisions regarding future spending and other operational decisions.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before depreciation and amortization, interest expense, income taxes, and items that we do not consider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evaluation of ongoing core operating 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of 2024 reflect the continued growth of the Company. The Company continued to accelerate the pace of new restaurant openings with 43 NROs in 2024 and we executed on our growth strategy as we acquired 22 operating restaurants from our franchisees in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highlights for the 52-weeks ended December 29, 2024 as compared, unless otherwise indicated below, to the 53-weeks ended December 31, 2023, reflected the continued momentum of our strong operating performance and include the following:</w:t>
      </w:r>
    </w:p>
    <w:p>
      <w:pPr>
        <w:spacing w:after="0" w:line="189" w:lineRule="exact"/>
        <w:rPr>
          <w:sz w:val="20"/>
          <w:szCs w:val="20"/>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13.9% to $1.0 billion from $891.6 million in 2023</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sales increased to $1.2 billion from $1.1 billion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negative 0.5%*</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negative 4.0%*</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to $38.9 million from $41.3 million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decreased to 3.9% from 4.7%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increased to $201.8 million from $175.7 million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increased to 20.1% from 20.0%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to $18.9 million from $25.4 million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$113.8 million from $99.5 million in 2023</w:t>
      </w:r>
    </w:p>
    <w:p>
      <w:pPr>
        <w:spacing w:after="0" w:line="9"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50 system-wide restaurants (43 company-owned and 7 franchise-owned) across 19 states resulting in a total of 572 system-wide restaurants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(489 company-owned and 83 franchise-owned) across 29 states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 xml:space="preserve">*Comparison to the 52-week periods ended December 29, 2024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December 31, 2023 in order to compare like-for-like periods. See “Key Performance Indicators” for additional information.</w:t>
      </w:r>
    </w:p>
    <w:p>
      <w:pPr>
        <w:spacing w:after="0" w:line="1"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2024, many restaurant industry sectors experienced downward sales pressure and traffic and “breakfast” was the most impacted daypart. The Company’s same-restaurant sales growth in 2024 was negative 0.5%, and partially offset by a 3.6% increase in carried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inflation was 3.2% in 2024. We expect a high-single digit percentage increase in our 2025 commodity prices as compared to the prior year.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Restaurant level labor inflation of 4.4% was offset by improvements in labor efficiencies. At year end, we were staffed with over 120 managers to lead and operate our future new company-owned restaurants. We expect 2% to 4% labor inflation in 2025.</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Continuing the Company’s expansion, Management intends to open 59 to 64 net new system-wide restaurants in 2025. In addition, Management has entered into two agreements to acquire 19 restaurants from franchisees.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Highlights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During 2024, the Company had a total of 50 new system-wide restaurants in 19 states. One company-owned and one franchise-owned restaurant closed in 2024. We also acquired 22 operating restaurants from our franchisees in the execution of our growth strategy. See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the accompanying notes to the consolidated financial statements for additional information. At December 29, 2024, the Company had a total of 572 system-wide restaurants.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FISCAL YEAR 2024</w:t>
            </w:r>
          </w:p>
        </w:tc>
        <w:tc>
          <w:tcPr>
            <w:tcW w:w="192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Company-owned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Franchise-owned</w:t>
            </w:r>
          </w:p>
        </w:tc>
        <w:tc>
          <w:tcPr>
            <w:tcW w:w="1920" w:type="dxa"/>
            <w:vAlign w:val="bottom"/>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of period</w:t>
            </w:r>
          </w:p>
        </w:tc>
        <w:tc>
          <w:tcPr>
            <w:tcW w:w="16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425</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22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restaurants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Acquisitions of franchise-owned restaurants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Closures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164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open between 55 to 58 company-owned restaurants and 7 to 9 franchise-owned restaurants during 2025. We also plan to close 3 company-owned restaurants, resulting in a total of 59 to 64, net new system-wide restaurants in 2025.</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7"/>
        </w:trPr>
        <w:tc>
          <w:tcPr>
            <w:tcW w:w="44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weeks in fiscal year</w:t>
            </w: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System-wide restaurants</w:t>
            </w:r>
          </w:p>
        </w:tc>
        <w:tc>
          <w:tcPr>
            <w:tcW w:w="130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524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474</w:t>
            </w:r>
          </w:p>
        </w:tc>
      </w:tr>
      <w:tr>
        <w:trPr>
          <w:trHeight w:val="233"/>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Company-owned</w:t>
            </w:r>
          </w:p>
        </w:tc>
        <w:tc>
          <w:tcPr>
            <w:tcW w:w="1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489</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425</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366</w:t>
            </w:r>
          </w:p>
        </w:tc>
      </w:tr>
      <w:tr>
        <w:trPr>
          <w:trHeight w:val="226"/>
        </w:trPr>
        <w:tc>
          <w:tcPr>
            <w:tcW w:w="4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Franchise-owned</w:t>
            </w:r>
          </w:p>
        </w:tc>
        <w:tc>
          <w:tcPr>
            <w:tcW w:w="130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108</w:t>
            </w:r>
          </w:p>
        </w:tc>
      </w:tr>
      <w:tr>
        <w:trPr>
          <w:trHeight w:val="23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System-wide sales (in thousands)</w:t>
            </w:r>
          </w:p>
        </w:tc>
        <w:tc>
          <w:tcPr>
            <w:tcW w:w="1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1,184,469</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1,103,089</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914,816</w:t>
            </w:r>
          </w:p>
        </w:tc>
      </w:tr>
      <w:tr>
        <w:trPr>
          <w:trHeight w:val="230"/>
        </w:trPr>
        <w:tc>
          <w:tcPr>
            <w:tcW w:w="44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Same-restaurant sales growth </w:t>
            </w:r>
            <w:r>
              <w:rPr>
                <w:rFonts w:ascii="Times New Roman" w:cs="Times New Roman" w:eastAsia="Times New Roman" w:hAnsi="Times New Roman"/>
                <w:sz w:val="22"/>
                <w:szCs w:val="22"/>
                <w:color w:val="auto"/>
                <w:vertAlign w:val="superscript"/>
              </w:rPr>
              <w:t>(1)</w:t>
            </w:r>
          </w:p>
        </w:tc>
        <w:tc>
          <w:tcPr>
            <w:tcW w:w="1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14.5 %</w:t>
            </w:r>
          </w:p>
        </w:tc>
      </w:tr>
      <w:tr>
        <w:trPr>
          <w:trHeight w:val="230"/>
        </w:trPr>
        <w:tc>
          <w:tcPr>
            <w:tcW w:w="44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Same-restaurant traffic growth </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AUV (in thousands)</w:t>
            </w:r>
          </w:p>
        </w:tc>
        <w:tc>
          <w:tcPr>
            <w:tcW w:w="130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2,204</w:t>
            </w:r>
          </w:p>
        </w:tc>
        <w:tc>
          <w:tcPr>
            <w:tcW w:w="1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2,250</w:t>
            </w:r>
          </w:p>
        </w:tc>
        <w:tc>
          <w:tcPr>
            <w:tcW w:w="18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2,032</w:t>
            </w:r>
          </w:p>
        </w:tc>
      </w:tr>
      <w:tr>
        <w:trPr>
          <w:trHeight w:val="23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 (in thousands)</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38,907</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41,267</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16,913</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1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33"/>
        </w:trPr>
        <w:tc>
          <w:tcPr>
            <w:tcW w:w="44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Restaurant level operating profit (in thousands) </w:t>
            </w:r>
            <w:r>
              <w:rPr>
                <w:rFonts w:ascii="Times New Roman" w:cs="Times New Roman" w:eastAsia="Times New Roman" w:hAnsi="Times New Roman"/>
                <w:sz w:val="22"/>
                <w:szCs w:val="22"/>
                <w:color w:val="auto"/>
                <w:vertAlign w:val="superscript"/>
              </w:rPr>
              <w:t>(2)</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201,761</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175,658</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128,936</w:t>
            </w:r>
          </w:p>
        </w:tc>
      </w:tr>
      <w:tr>
        <w:trPr>
          <w:trHeight w:val="229"/>
        </w:trPr>
        <w:tc>
          <w:tcPr>
            <w:tcW w:w="44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level operating profit margin </w:t>
            </w:r>
            <w:r>
              <w:rPr>
                <w:rFonts w:ascii="Times New Roman" w:cs="Times New Roman" w:eastAsia="Times New Roman" w:hAnsi="Times New Roman"/>
                <w:sz w:val="22"/>
                <w:szCs w:val="22"/>
                <w:color w:val="auto"/>
                <w:vertAlign w:val="superscript"/>
              </w:rPr>
              <w:t>(2)</w:t>
            </w:r>
          </w:p>
        </w:tc>
        <w:tc>
          <w:tcPr>
            <w:tcW w:w="1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17.9 %</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(in thousands)</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18,925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25,385</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6,907</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margin</w:t>
            </w:r>
          </w:p>
        </w:tc>
        <w:tc>
          <w:tcPr>
            <w:tcW w:w="1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r>
      <w:tr>
        <w:trPr>
          <w:trHeight w:val="233"/>
        </w:trPr>
        <w:tc>
          <w:tcPr>
            <w:tcW w:w="44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Adjusted EBITDA (in thousands) </w:t>
            </w:r>
            <w:r>
              <w:rPr>
                <w:rFonts w:ascii="Times New Roman" w:cs="Times New Roman" w:eastAsia="Times New Roman" w:hAnsi="Times New Roman"/>
                <w:sz w:val="22"/>
                <w:szCs w:val="22"/>
                <w:color w:val="auto"/>
                <w:vertAlign w:val="superscript"/>
              </w:rPr>
              <w:t>(3)</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113,836</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99,483</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69,278</w:t>
            </w:r>
          </w:p>
        </w:tc>
      </w:tr>
      <w:tr>
        <w:trPr>
          <w:trHeight w:val="291"/>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Adjusted EBITDA margin </w:t>
            </w:r>
            <w:r>
              <w:rPr>
                <w:rFonts w:ascii="Times New Roman" w:cs="Times New Roman" w:eastAsia="Times New Roman" w:hAnsi="Times New Roman"/>
                <w:sz w:val="22"/>
                <w:szCs w:val="22"/>
                <w:color w:val="auto"/>
                <w:vertAlign w:val="superscript"/>
              </w:rPr>
              <w:t>(3)</w:t>
            </w:r>
          </w:p>
        </w:tc>
        <w:tc>
          <w:tcPr>
            <w:tcW w:w="1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firstLine="8"/>
        <w:spacing w:after="0" w:line="255" w:lineRule="auto"/>
        <w:tabs>
          <w:tab w:leader="none" w:pos="24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Comparing the 52-week period ended December 29, 2024 with the 52-week period ended December 31, 2023 in order to compare like-for-like periods. See “Key Performance Indicators” for additional information.</w:t>
      </w:r>
    </w:p>
    <w:p>
      <w:pPr>
        <w:ind w:right="20" w:firstLine="8"/>
        <w:spacing w:after="0" w:line="248" w:lineRule="auto"/>
        <w:tabs>
          <w:tab w:leader="none" w:pos="25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1" w:lineRule="exact"/>
        <w:rPr>
          <w:rFonts w:ascii="Times New Roman" w:cs="Times New Roman" w:eastAsia="Times New Roman" w:hAnsi="Times New Roman"/>
          <w:sz w:val="16"/>
          <w:szCs w:val="16"/>
          <w:color w:val="auto"/>
        </w:rPr>
      </w:pPr>
    </w:p>
    <w:p>
      <w:pPr>
        <w:ind w:right="20" w:firstLine="8"/>
        <w:spacing w:after="0" w:line="270" w:lineRule="auto"/>
        <w:tabs>
          <w:tab w:leader="none" w:pos="2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that follows includes a comparison of our results of operations for 2024 and 2023.</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items in our Consolidated Statements of Operations and Comprehensive Income (Loss) in relation to Total revenues or, where indicated, Restaurant sales for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8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98.9 %</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877,092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98.4 %</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19"/>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52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 xml:space="preserve">Restaurant operating expenses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(exclusive of depreciation and amortization shown below):</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Food and beverage costs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22.5 %</w:t>
            </w:r>
          </w:p>
        </w:tc>
      </w:tr>
      <w:tr>
        <w:trPr>
          <w:trHeight w:val="226"/>
        </w:trPr>
        <w:tc>
          <w:tcPr>
            <w:tcW w:w="6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294,010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r>
      <w:tr>
        <w:trPr>
          <w:trHeight w:val="23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15.3 %</w:t>
            </w:r>
          </w:p>
        </w:tc>
      </w:tr>
      <w:tr>
        <w:trPr>
          <w:trHeight w:val="226"/>
        </w:trPr>
        <w:tc>
          <w:tcPr>
            <w:tcW w:w="6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Occupancy expenses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r>
      <w:tr>
        <w:trPr>
          <w:trHeight w:val="23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Pre-opening expenses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11.6 %</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57,715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Impairments and loss on disposal of assets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expenses, net</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1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977,003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850,284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95.4 %</w:t>
            </w:r>
          </w:p>
        </w:tc>
      </w:tr>
      <w:tr>
        <w:trPr>
          <w:trHeight w:val="227"/>
        </w:trPr>
        <w:tc>
          <w:tcPr>
            <w:tcW w:w="65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Income from operations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6"/>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4"/>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Percentages are calculated as a percentage of restaurant sales.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6"/>
        </w:trPr>
        <w:tc>
          <w:tcPr>
            <w:tcW w:w="39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In-restaurant dining sales</w:t>
            </w:r>
          </w:p>
        </w:tc>
        <w:tc>
          <w:tcPr>
            <w:tcW w:w="132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829,048</w:t>
            </w:r>
          </w:p>
        </w:tc>
        <w:tc>
          <w:tcPr>
            <w:tcW w:w="100" w:type="dxa"/>
            <w:vAlign w:val="bottom"/>
          </w:tcPr>
          <w:p>
            <w:pPr>
              <w:spacing w:after="0"/>
              <w:rPr>
                <w:sz w:val="19"/>
                <w:szCs w:val="19"/>
                <w:color w:val="auto"/>
              </w:rPr>
            </w:pP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716,960</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112,088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15.6 %</w:t>
            </w:r>
          </w:p>
        </w:tc>
      </w:tr>
      <w:tr>
        <w:trPr>
          <w:trHeight w:val="23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Third-party delivery sales</w:t>
            </w:r>
          </w:p>
        </w:tc>
        <w:tc>
          <w:tcPr>
            <w:tcW w:w="1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97,444</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r>
      <w:tr>
        <w:trPr>
          <w:trHeight w:val="226"/>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Take-out sales</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77,863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13.3 %</w:t>
            </w:r>
          </w:p>
        </w:tc>
      </w:tr>
      <w:tr>
        <w:trPr>
          <w:trHeight w:val="22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Restaurant sales</w:t>
            </w:r>
          </w:p>
        </w:tc>
        <w:tc>
          <w:tcPr>
            <w:tcW w:w="132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1,004,355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127,263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restaurant sales was primarily due to (i) opening and acquiring restaurants in 2024, (ii) recognizing a full year of sales for restaurants opened and acquired in 2023 and (iii) menu price increases. The increase was partially offset by (i) 2024 negative same-restaurant sales growth of 0.5% and (ii) the 53rd week of sales in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6"/>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Royalty and system fund contributions</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10,864</w:t>
            </w:r>
          </w:p>
        </w:tc>
        <w:tc>
          <w:tcPr>
            <w:tcW w:w="100" w:type="dxa"/>
            <w:vAlign w:val="bottom"/>
          </w:tcPr>
          <w:p>
            <w:pPr>
              <w:spacing w:after="0"/>
              <w:rPr>
                <w:sz w:val="19"/>
                <w:szCs w:val="19"/>
                <w:color w:val="auto"/>
              </w:rPr>
            </w:pP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13,464</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3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Initial fees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26"/>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Business combinations - revenues recognized</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Franchise revenues</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11,555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14,459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franchise revenues during 2024 as compared to 2023 was primarily driven by (i) the Company’s acquisitions of franchise-owned restaurants and (ii) $0.6 million of deferred franchise revenues recognized in 2023 in connection with the acquisitions of restaurants from franchisees. The decrease was partially offset by (i) revenues from franchise-owned NROs and (ii) $0.4 million of deferred franchise revenues recognized in 2024 in connection with the acquisitions of restaurants from our franchisees.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Food and beverage costs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7"/>
                <w:szCs w:val="17"/>
                <w:color w:val="auto"/>
              </w:rPr>
              <w:t>223,097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197,374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25,723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(0.3)%</w:t>
            </w:r>
          </w:p>
        </w:tc>
        <w:tc>
          <w:tcPr>
            <w:tcW w:w="760" w:type="dxa"/>
            <w:vAlign w:val="bottom"/>
          </w:tcPr>
          <w:p>
            <w:pPr>
              <w:spacing w:after="0"/>
              <w:rPr>
                <w:sz w:val="19"/>
                <w:szCs w:val="19"/>
                <w:color w:val="auto"/>
              </w:rPr>
            </w:pPr>
          </w:p>
        </w:tc>
      </w:tr>
    </w:tbl>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Food and beverage costs as a percent of restaurant sales decreased during 2024 as compared to 2023 primarily due to leveraging menu price increases. The decrease was partially offset by commodity inflation of 3.2%.</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Food and beverage costs increased during 2024 as compared to 2023 primarily as a result of (i) the 14.5% increase in restaurant sales, (ii) opening and acquiring restaurants in 2024, (iii) recognizing a full year of costs for restaurants opened and acquired in 2023 and (iv) commodity inflation. The increase was partially affected by the additional 53rd week in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335,038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294,010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41,028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(0.1)%</w:t>
            </w:r>
          </w:p>
        </w:tc>
        <w:tc>
          <w:tcPr>
            <w:tcW w:w="760" w:type="dxa"/>
            <w:vAlign w:val="bottom"/>
          </w:tcPr>
          <w:p>
            <w:pPr>
              <w:spacing w:after="0"/>
              <w:rPr>
                <w:sz w:val="19"/>
                <w:szCs w:val="19"/>
                <w:color w:val="auto"/>
              </w:rPr>
            </w:pPr>
          </w:p>
        </w:tc>
      </w:tr>
    </w:tbl>
    <w:p>
      <w:pPr>
        <w:spacing w:after="0" w:line="3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decreased during 2024 as compared to 2023 primarily as a result of (i) menu price increases and (ii) improved hourly labor efficiency. This decrease was partially offset by (i) wage increases and (ii) higher health insurance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2024 as compared to 2023 was primarily due to (i) the increase in staffing levels to support the increase in corporate-owned restaurants (ii) wage increases and (iii) higher health insurance costs. The increase was partially offset by (i) hourly labor efficiency and (ii) the additional 53rd week in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151,968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134,477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rPr>
              <w:t>17,491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(0.2)%</w:t>
            </w:r>
          </w:p>
        </w:tc>
        <w:tc>
          <w:tcPr>
            <w:tcW w:w="760" w:type="dxa"/>
            <w:vAlign w:val="bottom"/>
          </w:tcPr>
          <w:p>
            <w:pPr>
              <w:spacing w:after="0"/>
              <w:rPr>
                <w:sz w:val="19"/>
                <w:szCs w:val="19"/>
                <w:color w:val="auto"/>
              </w:rPr>
            </w:pPr>
          </w:p>
        </w:tc>
      </w:tr>
    </w:tbl>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restaurant operating expenses as a percentage of restaurant sales during 2024 decreased as compared to 2023 primarily due to (i) leveraging menu price increases, (ii) third-party delivery related revenue and expenses, including to-go supplies and third-party delivery fees, increasing at a lower rate than total restaurant sales. This decrease was partially offset by (i) utilities expenses, (ii) restaurant advertising costs and (iii) credit card fees which increased as a percentage of restaurant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2024 as compared to 2023 was primarily due to the increase in the number of restaurants driving increases in certain expenses including (i) $7.5 million of additional credit card, delivery, and license fees, (ii) $4.6 million increase in utilities and repair and maintenance expenses, (iii) $3.4 million related to operating supplies and (iv) $1.3 million related to restaurant advertising costs. The increase was partially offset by a decrease in to-go supplies costs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82,694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68,400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7"/>
                <w:szCs w:val="17"/>
                <w:color w:val="auto"/>
              </w:rPr>
              <w:t>14,294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20.9 %</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 percentage of restaurant sales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0.4%</w:t>
            </w:r>
          </w:p>
        </w:tc>
        <w:tc>
          <w:tcPr>
            <w:tcW w:w="760" w:type="dxa"/>
            <w:vAlign w:val="bottom"/>
          </w:tcPr>
          <w:p>
            <w:pPr>
              <w:spacing w:after="0"/>
              <w:rPr>
                <w:sz w:val="19"/>
                <w:szCs w:val="19"/>
                <w:color w:val="auto"/>
              </w:rPr>
            </w:pPr>
          </w:p>
        </w:tc>
      </w:tr>
    </w:tbl>
    <w:p>
      <w:pPr>
        <w:spacing w:after="0" w:line="2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as a percentage of restaurant sales during 2024 as compared to 2023 was primarily due to higher rent expense and the deleverage associated with negative same-restaurant sales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occupancy expenses during 2024 as compared to 2023 was primarily due to the increase in the number of company-owned restaurants.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Pre-opening expenses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10,109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2,936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40.9 %</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2024 pre-opening expenses as compared to 2023 was primarily due to (i) the higher number of restaurants opened and under construction and (ii) the increase in rents.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6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113,270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rPr>
              <w:t>10,149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2024 as compared to 2023 was mainly due to (i) $5.2 million increase in compensation and other related expenses such as wage increases, stock compensation and additional employee headcount to support growth, (ii) $2.7 million increase in licenses and fees related to information technology, (iii) $1.8 million related to consulting and professional services partially offset by $1.1 million related to a decrease in brand research costs and (iv) approximately $1.6 million related to travel and other miscellaneous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57,715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rPr>
              <w:t>16,492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40.0 %</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2024 as compared to 2023 was primarily due to additional NRO assets and restaurants acquired, including reacquired rights from franchisees.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and Loss on Disposal of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 and natural disasters.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 and loss on disposal of assets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rPr>
              <w:t>(834)</w:t>
            </w:r>
          </w:p>
        </w:tc>
        <w:tc>
          <w:tcPr>
            <w:tcW w:w="9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(61.4)%</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the amounts represented write-off of assets retired as a result of restaurant closures or replacements of assets. There were no impairment losses recognized. In 2023, we recorded total impairment charges of $0.5 million, which primarily related to the long-lived assets of two company-owned restaurants for which Management agreed to accelerate the expected closure dates.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expenses, net</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rPr>
              <w:t>(560)</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(17.8)%</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expenses, net decreased during 2024 as compared to 2023 primarily due to (i) lower costs incurred in connection with the acquisitions of restaurants from our franchisees and (ii) contingent consideration liability reduction. This decrease was partially offset by an increase in costs incurred by us in connection with the sale of the Company’s common stock by funds managed by Advent through secondary public offerings.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Income from Operations Margin</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64"/>
        </w:trPr>
        <w:tc>
          <w:tcPr>
            <w:tcW w:w="39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82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38,907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41,267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(2,360)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8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(0.8)%</w:t>
            </w:r>
          </w:p>
        </w:tc>
        <w:tc>
          <w:tcPr>
            <w:tcW w:w="740" w:type="dxa"/>
            <w:vAlign w:val="bottom"/>
          </w:tcPr>
          <w:p>
            <w:pPr>
              <w:spacing w:after="0"/>
              <w:rPr>
                <w:sz w:val="19"/>
                <w:szCs w:val="19"/>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margin decreased during 2024 as compared to 2023 primarily due to (i) deleveraging of certain expenses, including occupancy expenses, as a result of a decline in same-restaurant sales and (ii) higher depreciation and amortization expense driven by our restaurant growth and acquisition of certain franchise-owned restaurants partially offset by (i) labor efficiency and (ii) food and beverage costs improving as a percent of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during 2024 as compared to 2023 primarily due to (i) higher operating costs and depreciation expense driven by our restaurant growth and acquisitions of restaurants from franchisees, as well as (ii) higher general and administrative expenses primarily attributable to additional employee headcount and performance-based compensation and (iii) the 53rd week in 2023. This decrease was partially offset by the increase in restaurant sales and franchise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7"/>
                <w:szCs w:val="17"/>
                <w:color w:val="auto"/>
              </w:rPr>
              <w:t>(4,577)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56.8 %</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2024 as compared to 2023 was primarily due (i) an increase borrowings associated with franchise acquisitions and (ii) higher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7"/>
                <w:szCs w:val="17"/>
                <w:color w:val="auto"/>
              </w:rPr>
              <w:t>(1,112)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decreased in 2024 primarily related to insurance recoveries received in 2023 in connection with 2022 insured losses.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4"/>
        </w:trPr>
        <w:tc>
          <w:tcPr>
            <w:tcW w:w="40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(9,101)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2"/>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(10,690)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1,589</w:t>
            </w:r>
          </w:p>
        </w:tc>
        <w:tc>
          <w:tcPr>
            <w:tcW w:w="9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(14.9)%</w:t>
            </w: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tcPr>
          <w:p>
            <w:pPr>
              <w:spacing w:after="0"/>
              <w:rPr>
                <w:sz w:val="19"/>
                <w:szCs w:val="19"/>
                <w:color w:val="auto"/>
              </w:rPr>
            </w:pPr>
          </w:p>
        </w:tc>
      </w:tr>
    </w:tbl>
    <w:p>
      <w:pPr>
        <w:spacing w:after="0" w:line="3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effective income tax rates for 2024 as compared to 2023 was mainly due to (i) the change in the valuation allowance on deferred tax assets, (ii) the benefit of tax credits for FICA taxes on certain employees’ tips and (iii) impacts of executive stock-based compensation.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and Net Income Margin</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40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0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18,925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25,385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(6,460)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margin</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(0.9)%</w:t>
            </w:r>
          </w:p>
        </w:tc>
        <w:tc>
          <w:tcPr>
            <w:tcW w:w="800" w:type="dxa"/>
            <w:vAlign w:val="bottom"/>
          </w:tcPr>
          <w:p>
            <w:pPr>
              <w:spacing w:after="0"/>
              <w:rPr>
                <w:sz w:val="19"/>
                <w:szCs w:val="19"/>
                <w:color w:val="auto"/>
              </w:rPr>
            </w:pPr>
          </w:p>
        </w:tc>
      </w:tr>
    </w:tbl>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income and net income margin during 2024 as compared to 2023 was primarily due to (i) the decrease in income from operations including deleveraging of occupancy expenses, (ii) increase in depreciation and amortization attributed primarily to locations opened and acquired in 2024 and (iii) the increase in interest expense associated with increased borrowings to fund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w:t>
            </w: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201,761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175,658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7"/>
                <w:szCs w:val="17"/>
                <w:color w:val="auto"/>
              </w:rPr>
              <w:t>26,103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0.1%</w:t>
            </w:r>
          </w:p>
        </w:tc>
        <w:tc>
          <w:tcPr>
            <w:tcW w:w="760" w:type="dxa"/>
            <w:vAlign w:val="bottom"/>
          </w:tcPr>
          <w:p>
            <w:pPr>
              <w:spacing w:after="0"/>
              <w:rPr>
                <w:sz w:val="19"/>
                <w:szCs w:val="19"/>
                <w:color w:val="auto"/>
              </w:rPr>
            </w:pPr>
          </w:p>
        </w:tc>
      </w:tr>
    </w:tbl>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2024 increased as compared to 2023 primarily due to (i) favorable food and beverage costs as a percent of sales, (ii) favorable labor and other related expenses as a percent of sales and (iii) acquired restaurants. This was partially offset by the deleverage of occupancy expenses.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during 2024 increased as compared to 2023 primarily due to (i) menu price increases and (ii) revenue from the increase in the number of restaurants. This was partially offset by the increase in (i) operating costs and expenses driven by our restaurant growth and (ii) deleverage of occupancy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99"/>
        </w:trPr>
        <w:tc>
          <w:tcPr>
            <w:tcW w:w="39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3"/>
        </w:trPr>
        <w:tc>
          <w:tcPr>
            <w:tcW w:w="39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39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color w:val="auto"/>
              </w:rPr>
              <w:t>113,836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99,483</w:t>
            </w:r>
          </w:p>
        </w:tc>
        <w:tc>
          <w:tcPr>
            <w:tcW w:w="100" w:type="dxa"/>
            <w:vAlign w:val="bottom"/>
            <w:shd w:val="clear" w:color="auto" w:fill="CCEEFF"/>
          </w:tcPr>
          <w:p>
            <w:pPr>
              <w:spacing w:after="0"/>
              <w:rPr>
                <w:sz w:val="19"/>
                <w:szCs w:val="19"/>
                <w:color w:val="auto"/>
              </w:rPr>
            </w:pPr>
          </w:p>
        </w:tc>
        <w:tc>
          <w:tcPr>
            <w:tcW w:w="420" w:type="dxa"/>
            <w:vAlign w:val="bottom"/>
            <w:shd w:val="clear" w:color="auto" w:fill="BFE4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BFE4FF"/>
          </w:tcPr>
          <w:p>
            <w:pPr>
              <w:jc w:val="right"/>
              <w:ind w:right="553"/>
              <w:spacing w:after="0"/>
              <w:rPr>
                <w:sz w:val="20"/>
                <w:szCs w:val="20"/>
                <w:color w:val="auto"/>
              </w:rPr>
            </w:pPr>
            <w:r>
              <w:rPr>
                <w:rFonts w:ascii="Times New Roman" w:cs="Times New Roman" w:eastAsia="Times New Roman" w:hAnsi="Times New Roman"/>
                <w:sz w:val="17"/>
                <w:szCs w:val="17"/>
                <w:color w:val="auto"/>
              </w:rPr>
              <w:t>14,353</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14.4 %</w:t>
            </w: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margin</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center"/>
              <w:ind w:left="25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r>
    </w:tbl>
    <w:p>
      <w:pPr>
        <w:spacing w:after="0" w:line="2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EBITDA and consistent Adjusted EBITDA margin during 2024 as compared to 2023 was primarily due to the increase in (i) restaurant level operating profit and (ii) restaurant level operating profit margin. This was partially offset by the increase in general and administrative expenses, mainly due to the increase in compensation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54" w:lineRule="exact"/>
        <w:rPr>
          <w:sz w:val="20"/>
          <w:szCs w:val="20"/>
          <w:color w:val="auto"/>
        </w:rPr>
      </w:pPr>
    </w:p>
    <w:p>
      <w:pPr>
        <w:ind w:left="8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(Loss) and Net income (loss) margin, the most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GAAP measures to Adjusted EBITDA and Adjusted EBITDA margin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6,907</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57,715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34,230</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5,232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9,101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10,690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5,684</w:t>
            </w: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98,381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85,361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52,053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10,374</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(income), net </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transition costs </w:t>
            </w:r>
            <w:r>
              <w:rPr>
                <w:rFonts w:ascii="Times New Roman" w:cs="Times New Roman" w:eastAsia="Times New Roman" w:hAnsi="Times New Roman"/>
                <w:sz w:val="21"/>
                <w:szCs w:val="21"/>
                <w:color w:val="auto"/>
                <w:vertAlign w:val="superscript"/>
              </w:rPr>
              <w:t>(3)</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2,318</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(4)</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Delaware Voluntary Disclosure Agreement Program </w:t>
            </w:r>
            <w:r>
              <w:rPr>
                <w:rFonts w:ascii="Times New Roman" w:cs="Times New Roman" w:eastAsia="Times New Roman" w:hAnsi="Times New Roman"/>
                <w:sz w:val="21"/>
                <w:szCs w:val="21"/>
                <w:color w:val="auto"/>
                <w:vertAlign w:val="superscript"/>
              </w:rPr>
              <w:t>(5)</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(6)</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(7)</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in connection with natural disasters, net </w:t>
            </w:r>
            <w:r>
              <w:rPr>
                <w:rFonts w:ascii="Times New Roman" w:cs="Times New Roman" w:eastAsia="Times New Roman" w:hAnsi="Times New Roman"/>
                <w:sz w:val="21"/>
                <w:szCs w:val="21"/>
                <w:color w:val="auto"/>
                <w:vertAlign w:val="superscript"/>
              </w:rPr>
              <w:t>(8)</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8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0" w:type="dxa"/>
            <w:vAlign w:val="bottom"/>
            <w:tcBorders>
              <w:right w:val="single" w:sz="8" w:color="CCEEFF"/>
            </w:tcBorders>
          </w:tcPr>
          <w:p>
            <w:pPr>
              <w:spacing w:after="0"/>
              <w:rPr>
                <w:sz w:val="19"/>
                <w:szCs w:val="19"/>
                <w:color w:val="auto"/>
              </w:rPr>
            </w:pPr>
          </w:p>
        </w:tc>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113,836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99,483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69,278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1,015,910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891,551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730,162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margin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information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7"/>
              </w:rPr>
              <w:t>.</w:t>
            </w:r>
          </w:p>
        </w:tc>
        <w:tc>
          <w:tcPr>
            <w:tcW w:w="6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Deferred rent expense (income) </w:t>
            </w:r>
            <w:r>
              <w:rPr>
                <w:rFonts w:ascii="Times New Roman" w:cs="Times New Roman" w:eastAsia="Times New Roman" w:hAnsi="Times New Roman"/>
                <w:sz w:val="21"/>
                <w:szCs w:val="21"/>
                <w:color w:val="auto"/>
                <w:vertAlign w:val="superscript"/>
              </w:rPr>
              <w:t>(9)</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54"/>
        </w:trPr>
        <w:tc>
          <w:tcPr>
            <w:tcW w:w="60" w:type="dxa"/>
            <w:vAlign w:val="bottom"/>
            <w:vMerge w:val="continue"/>
          </w:tcPr>
          <w:p>
            <w:pPr>
              <w:spacing w:after="0"/>
              <w:rPr>
                <w:sz w:val="4"/>
                <w:szCs w:val="4"/>
                <w:color w:val="auto"/>
              </w:rPr>
            </w:pPr>
          </w:p>
        </w:tc>
        <w:tc>
          <w:tcPr>
            <w:tcW w:w="6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ind w:left="80" w:firstLine="8"/>
        <w:spacing w:after="0" w:line="249" w:lineRule="auto"/>
        <w:tabs>
          <w:tab w:leader="none" w:pos="32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 (Loss).</w:t>
      </w:r>
    </w:p>
    <w:p>
      <w:pPr>
        <w:ind w:left="80" w:firstLine="8"/>
        <w:spacing w:after="0" w:line="255" w:lineRule="auto"/>
        <w:tabs>
          <w:tab w:leader="none" w:pos="31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expenses related to debt, secondary offering costs, costs related to restaurant closures, gains or losses associated with lease or contract terminations and revaluations of contingent consideration liability.</w:t>
      </w:r>
    </w:p>
    <w:p>
      <w:pPr>
        <w:ind w:left="80" w:firstLine="8"/>
        <w:spacing w:after="0" w:line="255" w:lineRule="auto"/>
        <w:tabs>
          <w:tab w:leader="none" w:pos="32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 (Loss).</w:t>
      </w:r>
    </w:p>
    <w:p>
      <w:pPr>
        <w:ind w:left="320" w:hanging="232"/>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and costs related to the disposal of assets due to retirements, replacements, restaurant closures and natural disasters.</w:t>
      </w:r>
    </w:p>
    <w:p>
      <w:pPr>
        <w:spacing w:after="0" w:line="5" w:lineRule="exact"/>
        <w:rPr>
          <w:rFonts w:ascii="Times New Roman" w:cs="Times New Roman" w:eastAsia="Times New Roman" w:hAnsi="Times New Roman"/>
          <w:sz w:val="16"/>
          <w:szCs w:val="16"/>
          <w:color w:val="auto"/>
        </w:rPr>
      </w:pPr>
    </w:p>
    <w:p>
      <w:pPr>
        <w:ind w:left="80" w:right="20" w:firstLine="8"/>
        <w:spacing w:after="0" w:line="255" w:lineRule="auto"/>
        <w:tabs>
          <w:tab w:leader="none" w:pos="31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 (Loss).</w:t>
      </w:r>
    </w:p>
    <w:p>
      <w:pPr>
        <w:ind w:left="80" w:right="20" w:firstLine="8"/>
        <w:spacing w:after="0" w:line="255" w:lineRule="auto"/>
        <w:tabs>
          <w:tab w:leader="none" w:pos="33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 (Loss).</w:t>
      </w:r>
    </w:p>
    <w:p>
      <w:pPr>
        <w:ind w:left="320" w:hanging="232"/>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 (Loss).</w:t>
      </w:r>
    </w:p>
    <w:p>
      <w:pPr>
        <w:spacing w:after="0" w:line="5" w:lineRule="exact"/>
        <w:rPr>
          <w:rFonts w:ascii="Times New Roman" w:cs="Times New Roman" w:eastAsia="Times New Roman" w:hAnsi="Times New Roman"/>
          <w:sz w:val="16"/>
          <w:szCs w:val="16"/>
          <w:color w:val="auto"/>
        </w:rPr>
      </w:pPr>
    </w:p>
    <w:p>
      <w:pPr>
        <w:ind w:left="80" w:firstLine="8"/>
        <w:spacing w:after="0" w:line="255" w:lineRule="auto"/>
        <w:tabs>
          <w:tab w:leader="none" w:pos="31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insurance recoveries, net of costs incurred, in connection with hurricane damage, which were recorded in Other income, net on the Consolidated Statements of Operations and Comprehensive Income (Loss).</w:t>
      </w:r>
    </w:p>
    <w:p>
      <w:pPr>
        <w:ind w:left="80" w:firstLine="8"/>
        <w:spacing w:after="0" w:line="275" w:lineRule="auto"/>
        <w:tabs>
          <w:tab w:leader="none" w:pos="32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38,907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41,267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16,913</w:t>
            </w:r>
          </w:p>
        </w:tc>
      </w:tr>
      <w:tr>
        <w:trPr>
          <w:trHeight w:val="227"/>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Franchise revenues</w:t>
            </w: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(11,555)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(14,459)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(10,981)</w:t>
            </w:r>
          </w:p>
        </w:tc>
      </w:tr>
      <w:tr>
        <w:trPr>
          <w:trHeight w:val="23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6"/>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113,270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103,121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84,959</w:t>
            </w:r>
          </w:p>
        </w:tc>
      </w:tr>
      <w:tr>
        <w:trPr>
          <w:trHeight w:val="233"/>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57,715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41,223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34,230</w:t>
            </w:r>
          </w:p>
        </w:tc>
      </w:tr>
      <w:tr>
        <w:trPr>
          <w:trHeight w:val="229"/>
        </w:trPr>
        <w:tc>
          <w:tcPr>
            <w:tcW w:w="598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Transaction expenses (income), net </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3,147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2,513</w:t>
            </w:r>
          </w:p>
        </w:tc>
      </w:tr>
      <w:tr>
        <w:trPr>
          <w:trHeight w:val="229"/>
        </w:trPr>
        <w:tc>
          <w:tcPr>
            <w:tcW w:w="5980" w:type="dxa"/>
            <w:vAlign w:val="bottom"/>
            <w:shd w:val="clear" w:color="auto" w:fill="CCEEFF"/>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Impairments and loss on disposal of assets </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920</w:t>
            </w:r>
          </w:p>
        </w:tc>
      </w:tr>
      <w:tr>
        <w:trPr>
          <w:trHeight w:val="230"/>
        </w:trPr>
        <w:tc>
          <w:tcPr>
            <w:tcW w:w="5980" w:type="dxa"/>
            <w:vAlign w:val="bottom"/>
          </w:tcPr>
          <w:p>
            <w:pPr>
              <w:ind w:left="360"/>
              <w:spacing w:after="0" w:line="229" w:lineRule="exact"/>
              <w:rPr>
                <w:sz w:val="20"/>
                <w:szCs w:val="20"/>
                <w:color w:val="auto"/>
              </w:rPr>
            </w:pPr>
            <w:r>
              <w:rPr>
                <w:rFonts w:ascii="Times New Roman" w:cs="Times New Roman" w:eastAsia="Times New Roman" w:hAnsi="Times New Roman"/>
                <w:sz w:val="17"/>
                <w:szCs w:val="17"/>
                <w:color w:val="auto"/>
              </w:rPr>
              <w:t xml:space="preserve">Costs in connection with natural disasters </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382</w:t>
            </w:r>
          </w:p>
        </w:tc>
      </w:tr>
      <w:tr>
        <w:trPr>
          <w:trHeight w:val="20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level operating profit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201,761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175,658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128,936</w:t>
            </w:r>
          </w:p>
        </w:tc>
      </w:tr>
      <w:tr>
        <w:trPr>
          <w:trHeight w:val="216"/>
        </w:trPr>
        <w:tc>
          <w:tcPr>
            <w:tcW w:w="5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1,004,355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877,092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719,181</w:t>
            </w:r>
          </w:p>
        </w:tc>
      </w:tr>
      <w:tr>
        <w:trPr>
          <w:trHeight w:val="226"/>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from operations margin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33"/>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Restaurant level operating profit margin</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r>
      <w:tr>
        <w:trPr>
          <w:trHeight w:val="216"/>
        </w:trPr>
        <w:tc>
          <w:tcPr>
            <w:tcW w:w="5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information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91"/>
        </w:trPr>
        <w:tc>
          <w:tcPr>
            <w:tcW w:w="5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Deferred rent expense (income) </w:t>
            </w:r>
            <w:r>
              <w:rPr>
                <w:rFonts w:ascii="Times New Roman" w:cs="Times New Roman" w:eastAsia="Times New Roman" w:hAnsi="Times New Roman"/>
                <w:sz w:val="22"/>
                <w:szCs w:val="22"/>
                <w:color w:val="auto"/>
                <w:vertAlign w:val="superscript"/>
              </w:rPr>
              <w:t>(4)</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1,891</w:t>
            </w:r>
          </w:p>
        </w:tc>
        <w:tc>
          <w:tcPr>
            <w:tcW w:w="8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2,219</w:t>
            </w: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tabs>
          <w:tab w:leader="none" w:pos="23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costs related to restaurant closures, gains or losses associated with lease or contract terminations and revaluations of contingent consideration liability.</w:t>
      </w:r>
    </w:p>
    <w:p>
      <w:pPr>
        <w:ind w:left="240" w:hanging="232"/>
        <w:spacing w:after="0"/>
        <w:tabs>
          <w:tab w:leader="none" w:pos="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and costs related to the disposal of assets due to retirements, replacements, restaurant closures and natural disasters.</w:t>
      </w:r>
    </w:p>
    <w:p>
      <w:pPr>
        <w:spacing w:after="0" w:line="8" w:lineRule="exact"/>
        <w:rPr>
          <w:rFonts w:ascii="Times New Roman" w:cs="Times New Roman" w:eastAsia="Times New Roman" w:hAnsi="Times New Roman"/>
          <w:sz w:val="16"/>
          <w:szCs w:val="16"/>
          <w:color w:val="auto"/>
        </w:rPr>
      </w:pPr>
    </w:p>
    <w:p>
      <w:pPr>
        <w:ind w:firstLine="8"/>
        <w:spacing w:after="0" w:line="255" w:lineRule="auto"/>
        <w:tabs>
          <w:tab w:leader="none" w:pos="23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hurricane damage. The costs include inventory spoilage and labor costs, which were recorded in Food and beverage costs and Labor and other related expenses, respectively, on the Consolidated Statements of Operations and Comprehensive Income (Loss).</w:t>
      </w:r>
    </w:p>
    <w:p>
      <w:pPr>
        <w:ind w:firstLine="8"/>
        <w:spacing w:after="0" w:line="270" w:lineRule="auto"/>
        <w:tabs>
          <w:tab w:leader="none" w:pos="24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 (Loss).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29, 2024, we had cash and cash equivalents of $33.3 million and outstanding borrowings under the Credit Facility of $193.8 million, excluding unamortized debt discount and deferred issuance costs. We had availability of $123.3 million under our revolving credit facility of $125.0 million, of which $1.7 million is reserved under letters of credit, and availability of $27.5 million under our delayed draw term loan pursuant to our credit agreement,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storage of minimal inventory and customers’ payment for purchases at the time of the sale, which frequently precedes our payment terms with suppliers.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flow from operations combined with our availability under the Credit Facility and our cash and cash equivalents will be sufficient to meet the Company’s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 On November 7, 2022, we filed a Registration Statement on Form S-3 that allows the Company to sell up to 5,000,000 shares of common stock from time to time in one or more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$150.0 million to $160.0 million in 2025, not including the capital allocated to franchise acquisitions. This capital is invested primarily in new restaurant projects and planned remodels. We intend to fund the capital expenditures primarily with cash generated from our operating activities as well as with borrowings pursuant to our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115,673</w:t>
            </w:r>
          </w:p>
        </w:tc>
        <w:tc>
          <w:tcPr>
            <w:tcW w:w="100" w:type="dxa"/>
            <w:vAlign w:val="bottom"/>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95,338</w:t>
            </w: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(206,653)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(123,370)</w:t>
            </w:r>
          </w:p>
        </w:tc>
      </w:tr>
      <w:tr>
        <w:trPr>
          <w:trHeight w:val="23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5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74,331</w:t>
            </w:r>
          </w:p>
        </w:tc>
        <w:tc>
          <w:tcPr>
            <w:tcW w:w="100" w:type="dxa"/>
            <w:vAlign w:val="bottom"/>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28,070</w:t>
            </w:r>
          </w:p>
        </w:tc>
      </w:tr>
      <w:tr>
        <w:trPr>
          <w:trHeight w:val="21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 and restricted cash</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(16,649)</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4"/>
        </w:trPr>
        <w:tc>
          <w:tcPr>
            <w:tcW w:w="6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Cash provided by operations increased in 2024 as compared to 2023 primarily due to the addition of new and acquired restaurants.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to $206.7 million during 2024 from $123.4 million during 2023 primarily as a result of the increase in capital expenditures to support our restaurant growth and the acquisitions of restaurants from our franchisees.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of $74.3 million during 2024 as compared to $28.1 million during 2023 was primarily due to additional borrowings to fund the acquisition of franchise-owned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Material contractual obligations arising in the normal course of business primarily consist of operating and finance lease obligations, long-term debt and purchase obligations. The timing and nature of these commitments are expected to have an impact on our liquidity and capital requirements in future periods.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accompanying consolidated financial statements for additional information relating to our long-term debt and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accompanying consolidated financial statements included in Item 8 of Part II of this Annual Report on Form 10-K for additional information related to our operating and financing leases.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include agreements related to the construction or remodeling of restaurant facilities, the purchase of food, beverages, paper goods and other supplies, equipment purchases, marketing-related contracts, software license commitments, technology and other service contracts in the normal course of business. These obligations are generally pursuant to short-term purchase orders at prevailing market prices and are recorded as liabilities when the related goods are received or services rendered. These commitments are cancellable and there are no material financial penalties associated with these commitments in the event of early termination.</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Purchase obligations also include firm minimum commitments in excess of 12 months for certain contracts. Refer to Note 18,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the accompanying consolidated financial statements included in Item 8 of Part II of this Annual Report on Form 10-K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and related notes included elsewhere in this Annual Report on Form 10-K, which have been prepared in accordance with GAAP. The preparation of these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 accounting policies and estimates that we believe to be the most critical to an understanding of our financial condition and results of operations and that require the most complex and subjective management judgments are discussed below.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acquisitions using the purchase method of accounting. As such, the fair value of purchase consideration is allocated to the tangible assets acquired, liabilities assumed and intangible assets acquired based on estimated fair values at the acquisition date. The excess of the purchase consideration over the fair values of identifiable assets and liabilities is recorded as goodwill. The fair values assigned, defined as the price that would be received to sell an asset or paid to transfer a liability in an orderly transaction between willing market participants, are based on estimates and assumptions determined by Management. We determine the fair values of tangible and intangible assets acquired generally in consultation with a third-party valuation advisor. Critical estimates in valuing certain intangible assets include, but are not limited to, future expected cash flows and discount rates. In addition, we have estimated the value and economic lives of certain tangible assets based on historical information, industry estimates and averages, which are used to calculate depreciation and amortization expense. If the subsequent actual results and updated projections of the underlying business activity change, compared with the assumptions and projections used to develop these values, we could experience impairment charges. If our estimates of the economic lives change, depreciation or amortization expense could be accelerated or extended. Management’s estimates of fair value are based upon assumptions believed to be reasonable, but which are inherently uncertain and unpredictable and, as a result, actual results may differ from estimates.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initial accounting for a business combination is incomplete at the end of a reporting period that falls within a measurement period not to exceed a year from the date of acquisition, we report provisional amounts in our consolidated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adjustment to goodwill. Any adjustments identified after the measurement period are recorded in the Consolidated Statements of Operations and Comprehensive Income (Loss).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of acquired businesses are included in the consolidated financial statements from the acquisition date and costs that we incur to complete the business combination, such as legal and other professional fees, are expensed as they are incurred.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intangibles are tested for impairment annually on the first day of the fourth quarter of the fiscal year, or when events or changes in circumstances indicate that the carrying amount may not be recoverable. Significant judgments are used to determine if an indicator of impairment has occurred. Such indicators could include negative operating performance of our restaurants, economic and restaurant industry trends, legal factors, significant competition or changes in our business strategy. Adverse changes in these factors could have a significant impact on the recoverability of our goodwill and indefinite-lived intangible assets and could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one reporting unit to which we have attributed goodwill. 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qualitative assessment is not performed or if we determine that it is not more likely than not that the fair value of the reporting unit exceeds the carrying value, the fair value of the reporting unit is calculated using the best information available, including market information (also referred to as the market approach) and discounted cash flow projections (also referred to as the income approach). The market approach estimates fair value by applying projected cash flow earnings multiples to the reporting unit’s operating performance. The multiples are derived from comparable publicly-traded companies with similar operating and investment characteristics. The income approach uses internal future cash flow estimates, which are influenced by revenue growth rates, operating margins and new restaurant openings, that are discounted using a weighted-average cost of capital that reflects current market conditions. We recognize an impairment loss when the carrying value of the reporting unit exceeds the estimated fair value.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performing the quantitative assessment for indefinite-lived intangibles, we estimate the fair value of trade names and trademarks using the relief-from-royalty method, which requires assumptions related to projected sales, assumed royalty rates that could be payable if we did not own the trademarks and a discount rate. We recognize an impairment loss when the carrying value of the asset exceeds the estimated fair value.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subjective estimates associated with Management’s judgments and assumptions in fair value calculations at the measurement date are affected by various factors including changes in economic conditions, our operating performance and our business strategies.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2024 and 2023, we elected to perform a qualitative assessment for our annual impairment review of goodwill and indefinite-lived intangibles. In considering the qualitative approach related to goodwill, we considered factors including, but not limited to, macro-economic conditions, market and industry conditions, the competitive environment, results of prior impairment tests, operational stability, the overall financial performance of the reporting unit and the impacts of the discount rates. Management also considered the specific future outlook for the reporting unit. As it relates to our trade names and trademarks, we evaluate similar factors as the goodwill assessment, in addition to impacts of potential changes to the assumed royalty rate. Based on the results of the qualitative assessment, Management concluded that impairment of goodwill and its indefinite-lived intangibles was not likely and as a result, Management was not required to perform a quantitative assessment.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Definite-Lived Intangible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deployed at company-owned restaurants include (i) property, fixtures and equipment, (ii) operating lease right-of-use assets, net of the related operating lease liabilities and (iii) reacquired rights to the extent the restaurants have been acquired by the Company. Long-lived assets are reviewed for impairment whenever events or changes in circumstances indicate that the carrying amount of an asset group may not be recoverable. Recoverability is measured by a comparison of the carrying amount of an asset group to the estimated undiscounted future cash flows expected to be generated by the asset group. The comparison is performed at the lowest level of identifiable cash flows, which is primarily at the individual restaurant level. Significant judgment is used to determine the expected useful lives of long-lived assets and the estimated future cash flows, including projected sales growth, operating margins and ongoing maintenance and improvement of the assets. If the carrying amount of the asset group exceeds its estimated undiscounted future cash flows, an impairment charge is recognized.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Definite-lived intangible assets consist of franchise rights which arose from the purchase price allocation in connection with the Advent Acquisition and also include reacquired rights from the Company’s acquisitions of franchised restaurants. Definite-lived intangible assets are amortized on a straight-line basis over their estimated useful lives and are reviewed for impairment when events or change in circumstances indicate that the carrying amount of such assets may not be recoverable. Significant judgment is used to determine if an indicator of impairment has occurred. Such indicators may include, among others: negative operating performance of our restaurants, economic and restaurant industry trends, legal factors, significant competition or changes in our business strategy. Adverse changes in these factors could have a significant impact on the recoverability of these assets and the resulting impairment charge could be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Recoverability of definite-lived intangible assets is measured by a comparison of the carrying amount of the asset group to the estimated undiscounted future cash flows expected to be generated by the asset group. If the total future undiscounted net cash flows are less than the carrying amount, this may be an indication of impairment. An impairment loss is recognized when the asset’s carrying value exceeds its estimated fair value, which is generally estimated using discounted future cash flows expected from future use of the asset group.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our restaurant facilities and corporate offices, as well as certain restaurant equipment under various non-cancelable agreements. At the inception of each lease, we evaluate the expected term which includes reasonably certain renewal options, and the classification as either an operating leases or a finance lease. Lease liabilities represent the present value of future lease payments. To determine the present value of the lease liability, we estimate the incremental borrowing rates corresponding to the reasonably certain lease term as our leases do not provide implicit rates. Assumptions used in determining our incremental borrowing rate include a market yield implied by our outstanding secured term loans interpolated for various maturities using our synthetic credit rating, which is determined using a regression analysis of rated publicly-traded comparable companies and their financial data.</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impairment of the right-of-use asset at the asset group level whenever events or changes in circumstances indicate that the carrying value of the asset may not be recoverable.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Management’s judgments and in the assumptions being used may produce materially different amounts in the recognition of the right-of-use assets, lease liabilities and lease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 assets or liabilities are recognized for the estimated future tax effects attributable to temporary differences between the carrying value and the tax basis of assets and liabilities as well as tax credit carryforwards. The estimates we make under this method include, among other items, depreciation and amortization expense allowable for tax purposes, credits for items such as taxes paid on reported employee tip wages, effective rates for state and local income taxes and the deductibility of certain items. In addition, our annual effective income tax rate is adjusted as additional information becomes available during the reporting period.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for all deductible temporary differences to the extent that it is probable that taxable income will be available against which the deductible temporary differences can be utilized. A valuation allowance for deferred tax assets is provided when it is more likely than not that a portion of the deferred tax assets will not be realized. Potential for recovery of deferred tax assets is evaluated by estimating the taxable income in any available carry back period, considering future taxable income expected, scheduling of anticipated reversal of taxable temporary differences and considering prudent and feasible tax planning strategies.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and evaluate the rationale for recording a valuation allowance against deferred tax assets. As we increase earnings and utilize deferred tax assets, it is possible the valuation allowance could be reduced or eliminated. In addition, our ability to utilize net operating loss carryforwards and tax credit carryforwards could be adversely impacted by, among other things, a future “ownership change” as defined under Section 382 of the Internal Revenue Code. Changes in assumptions regarding our level and composition of earnings, tax laws or the deferred tax valuation allowance and the results of tax audits, may materially impact the effective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Fair Value of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measured based on the award’s fair value at the date of grant. Stock-based compensation expense related to time-based stock option awards issued under the 2017 Equity Plan is recognized on an accelerated recognition method over the requisite service period. Upon the Company’s IPO in October 2021, certain performance-based stock option awards issued under the 2017 Equity Plan for which the performance and market conditions were satisfied as a result of the Company’s IPO, converted into time-based stock option awards with the related stock-based compensation expense to be recognized on an accelerated recognition method over the remaining service period. No awards were granted under the 2017 Equity Plan during 2024 or 2023, and the Company does not intend to grant any further awards under the 2017 Equity Plan. Stock-based compensation expense related to time-based stock option awards issued under the 2021 Equity Plan is recognized on a straight-line basis over the requisite service period. Forfeitures are recognized as they occur for all awards.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fair value of stock option awards using the Black-Scholes valuation model, which involves several assumptions and judgments including the expected term of the stock option, expected volatility, the risk-free interest rate and the expected dividend yield. The Company does not have sufficient historical stock option exercise activity and therefore we estimated the expected term of stock options granted under the 2021 Equity Plan using the simplified method, which represents the mid-point between the vesting period and the contractual term for each grant. Prior to the IPO, the expected term of stock option awards was determined based on data from publicly traded companies. The expected volatility of stock option awards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 These assumptions represented Management’s best estimate, which involved inherent uncertainties and the application of Management’s judgment. As a result, if we had used significantly different assumptions or estimates, our stock-based compensation expense could have been materially different.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common stock and our stock-based awards’ grant date fair value is determined based on the closing price on our common stock on Nasdaq. Prior to our IPO and our common stock being listed on Nasdaq, given the absence of a public trading market for our common stock, the estimated fair value had been determined with input from Management exercising reasonable judgment and considering several objective and subjective factors including: (i) third-party valuations of our common stock, (ii) a combination of the income approach and the market approach and (iii) general economic outlook including economic growth, inflation and interest rates.</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 for additional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self-insured for employee group health claims and Ohio workers’ compensation and carries retention levels and per-claim deductibles for a significant portion of expected losses associated with other workers’ compensation and general liability programs. We record liabilities for unresolved and incurred but not reported claims at the anticipated cost below applicable retention levels or per-claim deductible amounts. Insurance reserve liabilities are established using actuarial assumptions and judgments regarding the frequency and severity of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and Food Price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profitability is dependent on, among other things, our ability to anticipate and react to changes in the costs of key operating resources, including food and beverage, energy, fuel costs and other commodities. We have been able to partly offset cost increases resulting from a number of factors, including market conditions, shortages or interruptions in supply due to weather, the macroeconomic impacts of regional conflicts, including the ongoing Russia-Ukraine conflict, or other conditions beyond our control, governmental regulations and inflation, by increasing our menu prices, as well as making other operational adjustments that increase productivity. However, elevated inflation in commodity markets and substantial increases in costs and expenses could impact our results of operations to the extent that such increases cannot be offset by menu price increases. Currently we do not use financial instruments to hedge our commodity risk.</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market basket experienced cost inflation of 320 basis points in 2024. We expect a high-single digit percentage increase in our 2025 commodity prices as compared to the prior year.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we have negotiated annual pricing for approximately 30% of our market basket. Other commodities are purchased based upon price ranges established with vendors and are subject to fixed prices or fixed formulas for 30-to-90 day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December 29, 2024, we had $193.8 million in outstanding borrowings, excluding unamortized debt discount and deferred issuance costs. Our loans pursuant to our Credit Agreement incur interest at a floating rate and we also pay an unused commitment fee of between 37.5 and 50 basis points on the undrawn commitments, depending on the Total Rent Adjusted Net Leverage Ratio, as defined in our Credit Agreement. On June 23, 2023, we entered into a variable-to-fixed interest rate swap agreement with two financial institutions to hedge $90 million of the outstanding variable rate debt. Under the terms of the interest rate swap agreements, the Company will pay a weighted average fixed rate of 4.16% on the notional amount and will receive payments from the counterparties based on the three-month secured overnight financing rate. On May 17, 2024, the Company entered into two additional variable-to-fixed interest rate swaps. These interest rate swaps have an aggregate notional amount of $60 million and mature on June 30, 2027. Under the terms of the interest rate swaps, the Company will pay a weighted average fixed rate of 4.42% on the notional amount and will receive payments from the counterparties based on the three-month secured overnight financing rate.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in the accompanying notes to the consolidated financial statements included in Item 8 of Part II of this Annual Report on Form 10-K for more information.</w:t>
      </w:r>
    </w:p>
    <w:p>
      <w:pPr>
        <w:spacing w:after="0" w:line="2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40" w:type="dxa"/>
            <w:vAlign w:val="bottom"/>
            <w:gridSpan w:val="6"/>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INDEX TO FINANCIAL INFORMATION</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29"/>
        </w:trPr>
        <w:tc>
          <w:tcPr>
            <w:tcW w:w="20" w:type="dxa"/>
            <w:vAlign w:val="bottom"/>
          </w:tcPr>
          <w:p>
            <w:pPr>
              <w:spacing w:after="0"/>
              <w:rPr>
                <w:sz w:val="24"/>
                <w:szCs w:val="24"/>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940" w:type="dxa"/>
            <w:vAlign w:val="bottom"/>
          </w:tcPr>
          <w:p>
            <w:pPr>
              <w:spacing w:after="0"/>
              <w:rPr>
                <w:sz w:val="24"/>
                <w:szCs w:val="24"/>
                <w:color w:val="auto"/>
              </w:rPr>
            </w:pPr>
          </w:p>
        </w:tc>
        <w:tc>
          <w:tcPr>
            <w:tcW w:w="10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0000FF"/>
            </w:tcBorders>
          </w:tcPr>
          <w:p>
            <w:pPr>
              <w:spacing w:after="0" w:line="20" w:lineRule="exact"/>
              <w:rPr>
                <w:sz w:val="1"/>
                <w:szCs w:val="1"/>
                <w:color w:val="auto"/>
              </w:rPr>
            </w:pPr>
          </w:p>
        </w:tc>
        <w:tc>
          <w:tcPr>
            <w:tcW w:w="1100" w:type="dxa"/>
            <w:vAlign w:val="bottom"/>
            <w:tcBorders>
              <w:bottom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 December 29, 2024 and December 31, 2023</w:t>
            </w:r>
          </w:p>
        </w:tc>
        <w:tc>
          <w:tcPr>
            <w:tcW w:w="940" w:type="dxa"/>
            <w:vAlign w:val="bottom"/>
          </w:tcPr>
          <w:p>
            <w:pPr>
              <w:spacing w:after="0"/>
              <w:rPr>
                <w:sz w:val="18"/>
                <w:szCs w:val="18"/>
                <w:color w:val="auto"/>
              </w:rPr>
            </w:pPr>
          </w:p>
        </w:tc>
        <w:tc>
          <w:tcPr>
            <w:tcW w:w="1080" w:type="dxa"/>
            <w:vAlign w:val="bottom"/>
            <w:gridSpan w:val="2"/>
          </w:tcPr>
          <w:p>
            <w:pPr>
              <w:jc w:val="right"/>
              <w:ind w:right="900"/>
              <w:spacing w:after="0" w:line="203" w:lineRule="exact"/>
              <w:rPr>
                <w:sz w:val="20"/>
                <w:szCs w:val="20"/>
                <w:color w:val="auto"/>
              </w:rPr>
            </w:pPr>
            <w:r>
              <w:rPr>
                <w:rFonts w:ascii="Times New Roman" w:cs="Times New Roman" w:eastAsia="Times New Roman" w:hAnsi="Times New Roman"/>
                <w:sz w:val="18"/>
                <w:szCs w:val="18"/>
                <w:color w:val="0000FF"/>
                <w:w w:val="88"/>
              </w:rPr>
              <w:t>58</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0000FF"/>
            </w:tcBorders>
          </w:tcPr>
          <w:p>
            <w:pPr>
              <w:spacing w:after="0" w:line="20" w:lineRule="exact"/>
              <w:rPr>
                <w:sz w:val="1"/>
                <w:szCs w:val="1"/>
                <w:color w:val="auto"/>
              </w:rPr>
            </w:pPr>
          </w:p>
        </w:tc>
        <w:tc>
          <w:tcPr>
            <w:tcW w:w="22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 For Fiscal Years 2024, 2023 and 2022</w:t>
            </w:r>
          </w:p>
        </w:tc>
        <w:tc>
          <w:tcPr>
            <w:tcW w:w="940" w:type="dxa"/>
            <w:vAlign w:val="bottom"/>
          </w:tcPr>
          <w:p>
            <w:pPr>
              <w:spacing w:after="0"/>
              <w:rPr>
                <w:sz w:val="18"/>
                <w:szCs w:val="18"/>
                <w:color w:val="auto"/>
              </w:rPr>
            </w:pPr>
          </w:p>
        </w:tc>
        <w:tc>
          <w:tcPr>
            <w:tcW w:w="1080" w:type="dxa"/>
            <w:vAlign w:val="bottom"/>
            <w:gridSpan w:val="2"/>
          </w:tcPr>
          <w:p>
            <w:pPr>
              <w:jc w:val="right"/>
              <w:ind w:right="900"/>
              <w:spacing w:after="0" w:line="203" w:lineRule="exact"/>
              <w:rPr>
                <w:sz w:val="20"/>
                <w:szCs w:val="20"/>
                <w:color w:val="auto"/>
              </w:rPr>
            </w:pPr>
            <w:r>
              <w:rPr>
                <w:rFonts w:ascii="Times New Roman" w:cs="Times New Roman" w:eastAsia="Times New Roman" w:hAnsi="Times New Roman"/>
                <w:sz w:val="18"/>
                <w:szCs w:val="18"/>
                <w:color w:val="0000FF"/>
                <w:w w:val="88"/>
              </w:rPr>
              <w:t>59</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0000FF"/>
            </w:tcBorders>
          </w:tcPr>
          <w:p>
            <w:pPr>
              <w:spacing w:after="0" w:line="20" w:lineRule="exact"/>
              <w:rPr>
                <w:sz w:val="1"/>
                <w:szCs w:val="1"/>
                <w:color w:val="auto"/>
              </w:rPr>
            </w:pPr>
          </w:p>
        </w:tc>
        <w:tc>
          <w:tcPr>
            <w:tcW w:w="2240" w:type="dxa"/>
            <w:vAlign w:val="bottom"/>
            <w:tcBorders>
              <w:bottom w:val="single" w:sz="8" w:color="0000FF"/>
            </w:tcBorders>
            <w:gridSpan w:val="2"/>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2520" w:type="dxa"/>
            <w:vAlign w:val="bottom"/>
            <w:tcBorders>
              <w:bottom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Equity - For Fiscal Years 2024, 2023 and 2022</w:t>
            </w:r>
          </w:p>
        </w:tc>
        <w:tc>
          <w:tcPr>
            <w:tcW w:w="940" w:type="dxa"/>
            <w:vAlign w:val="bottom"/>
          </w:tcPr>
          <w:p>
            <w:pPr>
              <w:spacing w:after="0"/>
              <w:rPr>
                <w:sz w:val="18"/>
                <w:szCs w:val="18"/>
                <w:color w:val="auto"/>
              </w:rPr>
            </w:pPr>
          </w:p>
        </w:tc>
        <w:tc>
          <w:tcPr>
            <w:tcW w:w="1080" w:type="dxa"/>
            <w:vAlign w:val="bottom"/>
            <w:gridSpan w:val="2"/>
          </w:tcPr>
          <w:p>
            <w:pPr>
              <w:jc w:val="right"/>
              <w:ind w:right="900"/>
              <w:spacing w:after="0" w:line="203" w:lineRule="exact"/>
              <w:rPr>
                <w:sz w:val="20"/>
                <w:szCs w:val="20"/>
                <w:color w:val="auto"/>
              </w:rPr>
            </w:pPr>
            <w:r>
              <w:rPr>
                <w:rFonts w:ascii="Times New Roman" w:cs="Times New Roman" w:eastAsia="Times New Roman" w:hAnsi="Times New Roman"/>
                <w:sz w:val="18"/>
                <w:szCs w:val="18"/>
                <w:color w:val="0000FF"/>
                <w:w w:val="88"/>
              </w:rPr>
              <w:t>60</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0000FF"/>
            </w:tcBorders>
          </w:tcPr>
          <w:p>
            <w:pPr>
              <w:spacing w:after="0" w:line="20" w:lineRule="exact"/>
              <w:rPr>
                <w:sz w:val="1"/>
                <w:szCs w:val="1"/>
                <w:color w:val="auto"/>
              </w:rPr>
            </w:pPr>
          </w:p>
        </w:tc>
        <w:tc>
          <w:tcPr>
            <w:tcW w:w="2240" w:type="dxa"/>
            <w:vAlign w:val="bottom"/>
            <w:tcBorders>
              <w:bottom w:val="single" w:sz="8" w:color="0000FF"/>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For Fiscal Years 2024, 2023 and 2022</w:t>
            </w:r>
          </w:p>
        </w:tc>
        <w:tc>
          <w:tcPr>
            <w:tcW w:w="344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gridSpan w:val="2"/>
          </w:tcPr>
          <w:p>
            <w:pPr>
              <w:jc w:val="right"/>
              <w:ind w:right="900"/>
              <w:spacing w:after="0" w:line="203" w:lineRule="exact"/>
              <w:rPr>
                <w:sz w:val="20"/>
                <w:szCs w:val="20"/>
                <w:color w:val="auto"/>
              </w:rPr>
            </w:pPr>
            <w:r>
              <w:rPr>
                <w:rFonts w:ascii="Times New Roman" w:cs="Times New Roman" w:eastAsia="Times New Roman" w:hAnsi="Times New Roman"/>
                <w:sz w:val="18"/>
                <w:szCs w:val="18"/>
                <w:color w:val="0000FF"/>
                <w:w w:val="88"/>
              </w:rPr>
              <w:t>61</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0000FF"/>
            </w:tcBorders>
            <w:shd w:val="clear" w:color="auto" w:fill="0000FF"/>
          </w:tcPr>
          <w:p>
            <w:pPr>
              <w:spacing w:after="0" w:line="20" w:lineRule="exact"/>
              <w:rPr>
                <w:sz w:val="1"/>
                <w:szCs w:val="1"/>
                <w:color w:val="auto"/>
              </w:rPr>
            </w:pPr>
          </w:p>
        </w:tc>
        <w:tc>
          <w:tcPr>
            <w:tcW w:w="2600" w:type="dxa"/>
            <w:vAlign w:val="bottom"/>
            <w:tcBorders>
              <w:bottom w:val="single" w:sz="8" w:color="0000FF"/>
            </w:tcBorders>
            <w:gridSpan w:val="4"/>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40" w:type="dxa"/>
            <w:vAlign w:val="bottom"/>
            <w:gridSpan w:val="6"/>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gridSpan w:val="2"/>
          </w:tcPr>
          <w:p>
            <w:pPr>
              <w:jc w:val="right"/>
              <w:ind w:right="900"/>
              <w:spacing w:after="0" w:line="203" w:lineRule="exact"/>
              <w:rPr>
                <w:sz w:val="20"/>
                <w:szCs w:val="20"/>
                <w:color w:val="auto"/>
              </w:rPr>
            </w:pPr>
            <w:r>
              <w:rPr>
                <w:rFonts w:ascii="Times New Roman" w:cs="Times New Roman" w:eastAsia="Times New Roman" w:hAnsi="Times New Roman"/>
                <w:sz w:val="18"/>
                <w:szCs w:val="18"/>
                <w:color w:val="0000FF"/>
                <w:w w:val="88"/>
              </w:rPr>
              <w:t>63</w:t>
            </w:r>
          </w:p>
        </w:tc>
      </w:tr>
      <w:tr>
        <w:trPr>
          <w:trHeight w:val="945"/>
        </w:trPr>
        <w:tc>
          <w:tcPr>
            <w:tcW w:w="20" w:type="dxa"/>
            <w:vAlign w:val="bottom"/>
          </w:tcPr>
          <w:p>
            <w:pPr>
              <w:spacing w:after="0"/>
              <w:rPr>
                <w:sz w:val="24"/>
                <w:szCs w:val="24"/>
                <w:color w:val="auto"/>
              </w:rPr>
            </w:pPr>
          </w:p>
        </w:tc>
        <w:tc>
          <w:tcPr>
            <w:tcW w:w="3160" w:type="dxa"/>
            <w:vAlign w:val="bottom"/>
            <w:tcBorders>
              <w:top w:val="single" w:sz="8" w:color="0000FF"/>
            </w:tcBorders>
          </w:tcPr>
          <w:p>
            <w:pPr>
              <w:spacing w:after="0"/>
              <w:rPr>
                <w:sz w:val="24"/>
                <w:szCs w:val="24"/>
                <w:color w:val="auto"/>
              </w:rPr>
            </w:pPr>
          </w:p>
        </w:tc>
        <w:tc>
          <w:tcPr>
            <w:tcW w:w="26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First Watch Restaurant Group,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Watch Restaurant Group, Inc. and its subsidiaries (the "Company") as of December 29, 2024 and December 31, 2023, and the related consolidated statements of operations and comprehensive income (loss), of equity and of cash flows for each of the three years in the period ended December 29, 2024, including the related notes (collectively referred to as the “consolidated financial statements”). In our opinion, the consolidated financial statements present fairly, in all material respects, the financial position of the Company as of December 29, 2024 and December 31, 2023, and the results of its operations and its cash flows for each of the three years in the period ended December 29, 2024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180" w:type="dxa"/>
            <w:vAlign w:val="bottom"/>
          </w:tcPr>
          <w:p>
            <w:pPr>
              <w:spacing w:after="0"/>
              <w:rPr>
                <w:sz w:val="18"/>
                <w:szCs w:val="18"/>
                <w:color w:val="auto"/>
              </w:rPr>
            </w:pPr>
          </w:p>
        </w:tc>
        <w:tc>
          <w:tcPr>
            <w:tcW w:w="19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49,632</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0" w:type="dxa"/>
            <w:vAlign w:val="bottom"/>
          </w:tcPr>
          <w:p>
            <w:pPr>
              <w:spacing w:after="0"/>
              <w:rPr>
                <w:sz w:val="1"/>
                <w:szCs w:val="1"/>
                <w:color w:val="auto"/>
              </w:rPr>
            </w:pP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71,190</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359,883</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c>
          <w:tcPr>
            <w:tcW w:w="0" w:type="dxa"/>
            <w:vAlign w:val="bottom"/>
          </w:tcPr>
          <w:p>
            <w:pPr>
              <w:spacing w:after="0"/>
              <w:rPr>
                <w:sz w:val="1"/>
                <w:szCs w:val="1"/>
                <w:color w:val="auto"/>
              </w:rPr>
            </w:pPr>
          </w:p>
        </w:tc>
      </w:tr>
      <w:tr>
        <w:trPr>
          <w:trHeight w:val="162"/>
        </w:trPr>
        <w:tc>
          <w:tcPr>
            <w:tcW w:w="6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$229,227 and $181,481,</w:t>
            </w:r>
          </w:p>
        </w:tc>
        <w:tc>
          <w:tcPr>
            <w:tcW w:w="22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361,394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263,082</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12"/>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40,281</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swap liabilities, current</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441,290</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25,331</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0" w:type="dxa"/>
            <w:vAlign w:val="bottom"/>
          </w:tcPr>
          <w:p>
            <w:pPr>
              <w:spacing w:after="0"/>
              <w:rPr>
                <w:sz w:val="1"/>
                <w:szCs w:val="1"/>
                <w:color w:val="auto"/>
              </w:rPr>
            </w:pP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918,967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705,761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60,700,090 and 59,891,705 shares</w:t>
            </w:r>
          </w:p>
        </w:tc>
        <w:tc>
          <w:tcPr>
            <w:tcW w:w="220" w:type="dxa"/>
            <w:vAlign w:val="bottom"/>
          </w:tcPr>
          <w:p>
            <w:pPr>
              <w:spacing w:after="0"/>
              <w:rPr>
                <w:sz w:val="14"/>
                <w:szCs w:val="14"/>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at December 29, 2024 and December 31, 2023, respectively</w:t>
            </w:r>
          </w:p>
        </w:tc>
        <w:tc>
          <w:tcPr>
            <w:tcW w:w="22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0" w:type="dxa"/>
            <w:vAlign w:val="bottom"/>
          </w:tcPr>
          <w:p>
            <w:pPr>
              <w:spacing w:after="0"/>
              <w:rPr>
                <w:sz w:val="1"/>
                <w:szCs w:val="1"/>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1,267,045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1,004,355</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877,092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719,181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w:t>
            </w:r>
          </w:p>
        </w:tc>
      </w:tr>
      <w:tr>
        <w:trPr>
          <w:trHeight w:val="207"/>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1,015,910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891,551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730,162</w:t>
            </w:r>
          </w:p>
        </w:tc>
      </w:tr>
      <w:tr>
        <w:trPr>
          <w:trHeight w:val="19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62"/>
        </w:trPr>
        <w:tc>
          <w:tcPr>
            <w:tcW w:w="5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shown below):</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172,561</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238,257</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114,476</w:t>
            </w: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59,919</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84,959</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34,230</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r>
      <w:tr>
        <w:trPr>
          <w:trHeight w:val="207"/>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977,003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850,284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713,249</w:t>
            </w: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16,913</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207"/>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12,591</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r>
      <w:tr>
        <w:trPr>
          <w:trHeight w:val="212"/>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5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gain (loss) on derivatives</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(loss) income</w:t>
            </w:r>
          </w:p>
        </w:tc>
        <w:tc>
          <w:tcPr>
            <w:tcW w:w="1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1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60,365,393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59,531,404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59,097,512</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62,351,222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61,191,613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60,140,045</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38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rPr>
                <w:sz w:val="12"/>
                <w:szCs w:val="12"/>
                <w:color w:val="auto"/>
              </w:rPr>
            </w:pPr>
          </w:p>
        </w:tc>
        <w:tc>
          <w:tcPr>
            <w:tcW w:w="23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24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26,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162,573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6,907</w:t>
            </w:r>
          </w:p>
        </w:tc>
        <w:tc>
          <w:tcPr>
            <w:tcW w:w="0" w:type="dxa"/>
            <w:vAlign w:val="bottom"/>
          </w:tcPr>
          <w:p>
            <w:pPr>
              <w:spacing w:after="0"/>
              <w:rPr>
                <w:sz w:val="1"/>
                <w:szCs w:val="1"/>
                <w:color w:val="auto"/>
              </w:rPr>
            </w:pPr>
          </w:p>
        </w:tc>
      </w:tr>
      <w:tr>
        <w:trPr>
          <w:trHeight w:val="24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25,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59,211,019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523,135</w:t>
            </w:r>
          </w:p>
        </w:tc>
        <w:tc>
          <w:tcPr>
            <w:tcW w:w="0" w:type="dxa"/>
            <w:vAlign w:val="bottom"/>
          </w:tcPr>
          <w:p>
            <w:pPr>
              <w:spacing w:after="0"/>
              <w:rPr>
                <w:sz w:val="1"/>
                <w:szCs w:val="1"/>
                <w:color w:val="auto"/>
              </w:rPr>
            </w:pPr>
          </w:p>
        </w:tc>
      </w:tr>
      <w:tr>
        <w:trPr>
          <w:trHeight w:val="162"/>
        </w:trPr>
        <w:tc>
          <w:tcPr>
            <w:tcW w:w="32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680,686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07"/>
        </w:trPr>
        <w:tc>
          <w:tcPr>
            <w:tcW w:w="3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808,385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37"/>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29,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6,907</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34,230</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10,374</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16,122</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compensation and deferred payroll taxes, current and long-term</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3"/>
        </w:trPr>
        <w:tc>
          <w:tcPr>
            <w:tcW w:w="6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r>
      <w:tr>
        <w:trPr>
          <w:trHeight w:val="219"/>
        </w:trPr>
        <w:tc>
          <w:tcPr>
            <w:tcW w:w="6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07"/>
        </w:trPr>
        <w:tc>
          <w:tcPr>
            <w:tcW w:w="68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62,937</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4"/>
        </w:trPr>
        <w:tc>
          <w:tcPr>
            <w:tcW w:w="682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payable borrowing</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197,500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30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3"/>
        </w:trPr>
        <w:tc>
          <w:tcPr>
            <w:tcW w:w="63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3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52,115</w:t>
            </w:r>
          </w:p>
        </w:tc>
      </w:tr>
      <w:tr>
        <w:trPr>
          <w:trHeight w:val="237"/>
        </w:trPr>
        <w:tc>
          <w:tcPr>
            <w:tcW w:w="63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w:t>
            </w:r>
          </w:p>
        </w:tc>
      </w:tr>
      <w:tr>
        <w:trPr>
          <w:trHeight w:val="22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r>
      <w:tr>
        <w:trPr>
          <w:trHeight w:val="216"/>
        </w:trPr>
        <w:tc>
          <w:tcPr>
            <w:tcW w:w="6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r>
              <w:rPr>
                <w:rFonts w:ascii="Times New Roman" w:cs="Times New Roman" w:eastAsia="Times New Roman" w:hAnsi="Times New Roman"/>
                <w:sz w:val="21"/>
                <w:szCs w:val="21"/>
                <w:color w:val="auto"/>
                <w:vertAlign w:val="superscript"/>
              </w:rPr>
              <w:t>(1)</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129,105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88,819</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45,979</w:t>
            </w: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r>
      <w:tr>
        <w:trPr>
          <w:trHeight w:val="21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liabilities from acquisition of property, fixtures and equipment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Leased assets and liabilities obtained in Fiscal 2024 and 2023 include $28.1 million and $24.0 million from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29 states operating under the “First Watch” trade name, which are focused on made-to-order breakfast, brunch and lunch. The Company does not operate outside of the United States and all of its assets are located in the United States. The Company’s outstanding stock was purchased by funds affiliated with or managed by Advent International L.P. on August 21, 2017 (the “Advent Acquisition”).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restaurants through its wholly owned subsidiary, First Watch Restaurants, Inc., and is a franchisor through its wholly owned subsidiary, First Watch Franchise Development Co. As of December 29, 2024 and December 31, 2023, the Company operated 489 company-owned restaurants and 425 company-owned restaurants, respectively, and had 83 franchise-owned restaurants and 99 franchise-owned restaurants, respectively.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fiscal years ended December 29, 2024 (“Fiscal 2024”), December 31, 2023 (“Fiscal 2023”) and December 25, 2022 (“Fiscal 2022”) contained 52 weeks, 53 weeks and 52 weeks, respectively. The accompanying consolidated financial statements of the Company have been prepared by the Company in accordance with generally accepted accounting principles in the United States of America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its wholly owned subsidiaries. All intercompany transactions and balances have been eliminated in consolidation.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ownership interests in any franchisee and does not provide financial support to franchisees. As a result, the Company’s franchise relationships are not variable interest entities and are not consolidated.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 estimates and such differences could be 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combinations are accounted for using the purchase method of accounting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consideration transferred in a business combination, identifiable assets acquired and liabilities assumed are measured at their estimated fair value as of the date of the acquisition. Goodwill is recognized for the amount by which the purchase consideration exceeds the fair values of the net assets acquired. Costs incurred in connection with business combinations are expensed as incurred. The results of operations of the businesses that were acquired are included as of their respective dates of acquisition.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classified and disclosed in one of the following three levels of the fair value hierarchy, of which the first two are considered observable inputs and the last is considered unobservable. The classification of a financial asset or liability within the hierarchy is determined based on the lowest level input that is significant to the fair value measurement.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1</w:t>
            </w:r>
          </w:p>
        </w:tc>
        <w:tc>
          <w:tcPr>
            <w:tcW w:w="10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Quoted prices (unadjusted) in active markets for identical assets or liabilities</w:t>
            </w:r>
          </w:p>
        </w:tc>
      </w:tr>
      <w:tr>
        <w:trPr>
          <w:trHeight w:val="226"/>
        </w:trPr>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Level 2</w:t>
            </w:r>
          </w:p>
        </w:tc>
        <w:tc>
          <w:tcPr>
            <w:tcW w:w="10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Observable inputs available other than quoted prices included in Level 1</w:t>
            </w:r>
          </w:p>
        </w:tc>
      </w:tr>
      <w:tr>
        <w:trPr>
          <w:trHeight w:val="23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3</w:t>
            </w:r>
          </w:p>
        </w:tc>
        <w:tc>
          <w:tcPr>
            <w:tcW w:w="10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Unobservable inputs based on assumptions that cannot be determined by observable market data</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equivalents, accounts receivable, accounts payable, accrued expenses and other current liabilities, approximate their fair values due to their short-term maturities.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 swaps are used as an element of the Company’s interest rate risk management strategy. The intent of these instruments is to reduce cash flow exposure to variability in expected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(Loss) and subsequently reclassified into earnings at the time of the Company’s debt-interest payments. The Company has elected to record cash flows from interest rate swaps within operating activities, the same category as the items being hedged, in its Consolidated Statements of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cash balances and highly liquid investments with an original maturity of three months or less. Amounts receivable from credit card processors are considered cash equivalents because they are highly liquid and are typically converted to cash within three business days.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by a contractual agreement for the settlement of insurance claims.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market and credit risk, are cash and cash equivalents and restricted cash. At times, cash balances may be in excess of the Federal Deposit Insurance Corporation insurance limits. The Company has not experienced any losses to date as a result of these risks. Management periodically assesses the quality of the financial institutions and believes that the risk related to these deposits is minimal.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 primarily of receivables from franchisees, receivables from third-party delivery providers, receivables from gift card sales and vendor rebates. The Company believes all amounts to be collectible based on a variety of factors it evaluates, including historical experience, current economic conditions and other factors. Accordingly, no allowance for credit losses or doubtful accounts has been recorded as of December 29, 2024 and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consists primarily of food and beverage costs and is stated at the lower of cost (determined by the first-in, first-out method) or net realizable value. Adjustments are not deemed necessary to reduce inventory to net realizable value due to the rapid turnover and utilization of inventory.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restaurant facilities, corporate offices and certain restaurant equipment are leased under various agreements having initial terms expiring between 2025 and 2040. Restaurant facility leases generally have renewal periods of five to 20 years, exercisable at the option of the Company. At the commencement of each lease, an evaluation is performed to determine whether (i) the contract involves the use of property or equipment, (ii) the Company controls the use of the asset and (iii) the Company has the right to direct the use of the asset. Management determines the classification of lease contracts as operating or finance leases. The majority of the Company’s real estate leases are classified as operating leases and the majority of the Company’s equipment leases are classified as finance leases.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operating leases with lease terms greater than 12 months, a lease liability is recognized for future fixed lease payments and a corresponding right-of-use asset is recognized representing the Company’s right to use the underlying asset during the lease term. The lease liability is initially measured as the present value of the future fixed lease payments that will be made over the lease term using the Company’s incremental borrowing rate as there are no implicit rates provided in the lease contracts. The Company’s incremental borrowing rate is based on a market yield implied by the Company’s outstanding secured term loan interpolated for various maturities using the Company’s synthetic credit rating, which was determined using a regression analysis of rated publicly-traded comparable companies and their financial data. Occupancy expense, which includes the effects of free rent periods and rent escalation clauses within certain of the Company’s leases, is recognized on a straight-line basis over the lease term. Tenant improvement allowances are amortized on a straight-line basis over the term of the lease as a reduction of lease expense. The lease term, which commences on the date the Company has the right to control the use of the property, includes the Company’s options to extend the lease to the extent it is reasonably certain that the renewal options will be exercised.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with indexed rent escalation clauses are recorded using the index that existed at lease commencement or upon the latest modification requiring remeasurement. Subsequent changes in the index are recorded as variable lease expense. Contingent rent payments, which are based on a percentage of sales for certain restaurant facilities, are recorded as variable lease expense when the Company determines that such sales levels will be achieved. In addition to fixed lease payments, certain of the Company’s real estate leases also require payment of a proportionate share of property taxes, insurance and maintenance costs, which are expensed as incurred in the Consolidated Statements of Operations and Comprehensive Income (Loss) and future variable rent obligations are not included within the lease liabilities on the Consolidated Balance Sheets.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right-of-use asset is measured at the amount of the lease liability with adjustments for (i) rent prepayments made prior to or at lease commencement, (ii) landlord incentives and (iii) favorable and unfavorable leasehold positions. The depreciable life of an operating lease right-of-use asset is limited by the lease term. The Company’s leases do not contain any material residual value guarantees or material restrictive covenants.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Fixed lease and non-lease components of the Company’s restaurant facility leases are accounted for as a single lease component. Leases with an initial term of 12 months or less are not recorded on the Consolidated Balance Sheets, however, they are recognized on a straight-line basis over the lease term in the Consolidated Statements of Operations and Comprehensive Income (Loss).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lease liabilities and corresponding finance lease assets are recognized at an amount equal to the present value of the minimum lease payments over the lease term. The amortization of finance lease assets is recognized over the shorter of the lease term or useful life of the underlying asset within Depreciation and amortization. The interest expense related to finance leases, including any variable lease payments, is recognized in Interest expense. Finance lease assets are classified in Property, fixtures and equipment, net and current maturities and long-term portions of finance lease liabilities are classified within Current portion of long-term debt and Long-term debt, net,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Fixtures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fixtures and equipment, including capitalized software, are stated at cost less accumulated depreciation. Refurbishments and improvements that increase the productive capacity or extend the useful life of assets are capitalized and depreciated over their estimated useful lives. Repair and maintenance costs are expensed as incurred. Leasehold improvements are depreciated over the shorter of their useful life or the lease term. The carrying amount of assets sold, replaced or retired and the related accumulated depreciation are eliminated at the time of disposal and any resulting gains and losses on disposal are recognized in the Consolidated Statements of Operations and Comprehensive Income (Loss).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internal costs associated with the acquisition, development, design and construction of company-owned restaurants are capitalized as these costs have a future benefit to the Company. Once a restaurant opens, these costs are depreciated and recorded in Depreciation and amortization. Direct internal costs of $1.2 million and $1.0 million were capitalized in Fiscal 2024 and Fiscal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over the following estimated useful lives:</w:t>
            </w:r>
          </w:p>
        </w:tc>
        <w:tc>
          <w:tcPr>
            <w:tcW w:w="2600" w:type="dxa"/>
            <w:vAlign w:val="bottom"/>
          </w:tcPr>
          <w:p>
            <w:pPr>
              <w:spacing w:after="0"/>
              <w:rPr>
                <w:sz w:val="20"/>
                <w:szCs w:val="20"/>
                <w:color w:val="auto"/>
              </w:rPr>
            </w:pPr>
          </w:p>
        </w:tc>
      </w:tr>
      <w:tr>
        <w:trPr>
          <w:trHeight w:val="135"/>
        </w:trPr>
        <w:tc>
          <w:tcPr>
            <w:tcW w:w="86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 improvements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to 40 years</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(including capitalized software)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15 years</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evaluated for impairment annually on the first day of the fourth quarter of the fiscal year, or whenever events or changes in circumstances indicate that the carrying amount may not be recoverable. The Company has one reporting unit for goodwill impairment testing purposes.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may elect to perform a qualitative assessment to determine whether it is more likely than not that the reporting unit and/or asset group is impaired. If the qualitative assessment is not performed, or if it is not more likely than not that the estimated fair value of the reporting unit and indefinite-lived intangible assets exceeds the respective carrying value, a quantitative analysis is required.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indefinite-lived intangibles is determined through a relief from royalty method using certain unobservable inputs that fall within Level 3 of the fair value hierarchy. The respective carrying values are compared to the related estimated fair values and an impairment loss is recognized in an amount equal to the excess of the carrying value over estimated fair values.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performed a qualitative annual impairment assessment for goodwill and indefinite-lived intangible assets as of the first day of the fourth quarter of Fiscal 2024 and Fiscal 2023 and concluded that impairment of both goodwill and indefinite-lived intangible assets was not more likely than not. As a result, a quantitative assessment was not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definite lives consist of franchise rights which arose from the purchase price allocation in connection with the Advent Acquisition and also include reacquired rights from the Company’s acquisitions of franchised restaurants. Definite-lived intangible assets are amortized over their estimated useful lives and are tested for impairment whenever events or changes in circumstances indicate that the carrying amount may not be recoverable.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the carrying amount for recoverability, the total future undiscounted net cash flows expected to be generated by the asset are compared to the carrying amount. If the total future undiscounted net cash flows are less than the carrying amount, this may be an indicator of impairment. An impairment loss is recognized when the asset’s carrying value exceeds its estimated fair value. Fair value is generally estimated using a discounted cash flow model using unobservable inputs that fall within Level 3 of the fair value hierarchy. No impairment loss was recorded for definite-lived intangible assets in Fiscal 2024, Fiscal 2023 and Fiscal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Long-lived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Long-lived assets deployed at company-owned restaurants include (i) property, fixtures and equipment, (ii) operating lease right-of-use asset, net of the related operating lease liability and (iii) reacquired rights to the extent the restaurant had been previously acquired by the Company.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circumstances indicate that the carrying value may not be recoverable, an evaluation for impairment is performed at the lowest level of identifiable cash flows, which is at the individual restaurant level. If the total future undiscounted net cash flows are less than the carrying value of the long-lived assets at the individual restaurant level, the fair value is determined based on discounted future net cash flows expected to result from the use and eventual disposition of the assets, which are unobservable inputs that fall within Level 3 of the fair value hierarchy. An impairment loss is recognized in an amount equal to the excess of the carrying value over the estimated fair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self-insured for employee group health claims and Ohio workers’ compensation. The Company also carries retention levels and per-claim deductibles associated with other workers’ compensation and general liability insurance programs. Stop loss coverage is maintained with third-party insurers to limit loss exposure.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liabilities for unresolved and incurred but not reported claims at the anticipated cost below applicable retention levels or per-claim deductible amounts. Insurance reserve liabilities are established at the balance sheet date using actuarial assumptions and historical data including the frequency and severity of claims. The establishment of the reserves utilizing estimates and assumptions is based, in part, on the premise that historical claims experience is indicative of current and future expected activity, which could differ significantly. If actual results are not consistent with our estimates or assumptions, the Company may be exposed to losses or gains that could be material.</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unpaid claims and other insurance liabilities of $3.9 million and $2.3 million were recorded in the accompanying Consolidated Balance Sheets as of December 29, 2024 and December 31,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food and beverage sales are reported, net of discounts and taxes. For in-restaurant dining and take-out sales, revenues are recognized when payment is tendered. For delivery sales made through the Company’s mobile application and website, the Company controls the delivery services and recognizes revenue, including delivery fees, when the delivery partner transfers the food and beverage to the customer. With respect to sales made through delivery partners’ mobile applications or websites, the Company recognizes revenue, excluding delivery fees collected by the delivery partner, when control of the food and beverage is transferred to the delivery partner. Payment is received from the delivery partner subsequent to the transfer of food and beverage and the payment terms are short-term.</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Franchise revenues include initial franchise fees and ongoing sales-based royalty and system fund contributions, which are used for advertising, marketing and public relations programs and materials. The license granted to develop and operate a restaurant is the distinct performance obligation that is transferred to the franchisee. Ancillary promised services, such as training, which are not considered distinct within the context of the franchise agreement, are combined with the franchise license and are considered one distinct performance obligation. Payments for initial franchise fees are received either upon execution of the franchise agreement and/or upon opening of the restaurant. These payments are deferred and recognized as revenue throughout the contractual term of the related franchise agreement. Unamortized deferred franchise fees are recognized as revenue upon the termination of franchise agreements with franchisees. The short-term and long-term unamortized portion of these liabilities are included in Deferred revenues and in Other long-term liabilities,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and system fund contributions from franchisees are based on a percentage of sales and are recognized as revenue in the period the sales occurred.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Gift cards are sold at restaurants and certain retail venues. Deferred revenues include liabilities established for the value of the gift cards when sold. Revenue is recognized from gift card sales upon redemption by the customer. Management estimates the amount of gift cards for which the likelihood of redemption is remote, referred to as “breakage,” using historical gift card redemption patterns. The estimated breakage is recognized over the expected period of redemption as the remaining gift card values are redeemed, which is generally over a period of two years. Utilizing this method, Management estimates both the breakage and the time period of redemption. If actual redemption patterns vary from these estimates, actual gift card breakage income may differ from the amounts recorded. Estimates of the redemption period and breakage rate applied are updated periodically. Gift card liabilities are included in Deferred revenues.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fluctuate directly with sales volumes and are impacted by changes in commodity prices or promotional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Received from Vendors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receives consideration from certain vendors for volume rebates and allowances. The Company accounts for consideration from a vendor as a reduction of the purchase price of the goods or services acquired from the vendor.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recognized as incurred or, in the case of advertisements, when the advertisement occurs. Advertising costs were $8.5 million, $7.2 million and $6.4 million during Fiscal 2024, Fiscal 2023 and Fiscal 2022, respectively, and are included in General and administrative expenses, Other restaurant operating expenses and Pre-opening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Discount and Deferred Issuance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discount and deferred issuance costs incurred in connection with the issuance of long-term debt are recorded as reductions of long-term debt and are amortized over the term of the related debt. Amortization expense of debt discount and deferred issuance costs is included in Interest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of accounting. Under this method, deferred tax assets or liabilities are recognized for the estimated future tax effects attributable to temporary differences between the carrying value and the tax basis of assets and liabilities as well as tax credit carryforwards. Deferred tax assets and liabilities are measured using enacted tax rates expected to be applicable in the years in which the differences are expected to be recovered or settled. Changes in deferred tax assets or liabilities are recognized in Income tax expense.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to the extent that it is probable that taxable income will be available against which the deductible temporary differences can be utilized. Realization of deferred tax assets is dependent upon the availability of taxable income and a valuation allowance for deferred tax assets is provided when it is more likely than not that a portion of the deferred tax assets will not be realized. In the assessment for realization of deferred tax assets, Management considers all sources of taxable income including (i) taxable income in any available carry back period, (ii) scheduling of anticipated reversal of taxable temporary differences, (iii) tax-planning strategies and (iv) taxable income expected to be generated in the future other than from reversing temporary differences and carryforwards. Management continues to evaluate the rationale for recording a valuation allowance on its deferred tax assets and as the Company increases earnings and utilizes deferred tax assets, it is possible the valuation allowance could be reduced or eliminated.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penalties, when incurred, are recognized in Other (expense) income, net.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is recognized in General and administrative expenses based on the fair value of the stock-based awards on the date of grant. The fair value of performance-based awards is recognized as expense when the achievement of the performance condition is probable. Stock-based compensation expense for time-based awards is expensed over the requisite service period.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restricted stock units (“RSU”) is determined by the market price of the Company’s stock on the date the RSU is granted. The fair value of stock option awards is determined using the Black-Scholes option pricing model. Determining the fair value of stock option awards at the grant date requires judgment, including estimating the expected term that the stock option awards will be outstanding prior to exercise, volatility, dividend yield and risk-free interest rate. The assumptions underlying these valuations represented Management’s best estimate, which involved inherent uncertainties and the application of Management’s judgment. As a result, if Management had used significantly different assumptions or estimates, the fair value of stock option awards and stock-based compensation expense could have been materially different.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 exercises and restricted stock unit vesting is settled with authorized but unissued shares of the Company’s common stock. Forfeitures of stock-based awards are recognized as they occur.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incremental disclosures related to a public entity’s reportable segments but does not change the definition of a segment, the method for determining segments, or the criteria for aggregating operating segments into reportable segments. The new guidance requires that a public entity disclose, on an annual and interim basis, disaggregated expense information that is regularly provided to the chief operating decision maker (“CODM”) and included within each reported measure of segment profit or loss. The disclosures are also required for public entities that have a single reporting segment. The Company adopted ASU No, 2023-07 on December 29, 2024. See Note 19,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detail.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new guidance is effective for fiscal years beginning after December 15, 2024 and should be applied on a prospective basis with the option to apply the standard retrospectively. Early adoption is permitted. Management is currently evaluating the impact of this new standard.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which establishes new disclosure requirements related to purchases of inventory, 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Acquisitions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the Company acquired substantially all the assets associated with 22 franchise operated First Watch restaurants. The purchase price was allocated to the fair value of assets acquired and liabilities assumed, which are based on preliminary valuations and are subject to adjustment as additional information is available.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details of each acquisition are as follows: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5"/>
        </w:trPr>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jc w:val="right"/>
              <w:ind w:right="1094"/>
              <w:spacing w:after="0"/>
              <w:rPr>
                <w:sz w:val="20"/>
                <w:szCs w:val="20"/>
                <w:color w:val="auto"/>
              </w:rPr>
            </w:pPr>
            <w:r>
              <w:rPr>
                <w:rFonts w:ascii="Times New Roman" w:cs="Times New Roman" w:eastAsia="Times New Roman" w:hAnsi="Times New Roman"/>
                <w:sz w:val="18"/>
                <w:szCs w:val="18"/>
                <w:b w:val="1"/>
                <w:bCs w:val="1"/>
                <w:color w:val="auto"/>
              </w:rPr>
              <w:t>DATE OF ACQUISITION</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9"/>
                <w:szCs w:val="19"/>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22, 2024</w:t>
            </w:r>
          </w:p>
        </w:tc>
        <w:tc>
          <w:tcPr>
            <w:tcW w:w="300" w:type="dxa"/>
            <w:vAlign w:val="bottom"/>
          </w:tcPr>
          <w:p>
            <w:pPr>
              <w:spacing w:after="0"/>
              <w:rPr>
                <w:sz w:val="19"/>
                <w:szCs w:val="19"/>
                <w:color w:val="auto"/>
              </w:rPr>
            </w:pPr>
          </w:p>
        </w:tc>
        <w:tc>
          <w:tcPr>
            <w:tcW w:w="1920" w:type="dxa"/>
            <w:vAlign w:val="bottom"/>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APRIL 15,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acquired restaurants</w:t>
            </w:r>
          </w:p>
        </w:tc>
        <w:tc>
          <w:tcPr>
            <w:tcW w:w="20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acquired restaurants under development</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price (cash)</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75,119</w:t>
            </w: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costs incurred</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w:t>
            </w:r>
          </w:p>
        </w:tc>
      </w:tr>
      <w:tr>
        <w:trPr>
          <w:trHeight w:val="23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franchise fees recognized as a result of termination of pre-existing franchise agreement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Recognized amounts of identifiable assets acquired and liabilities assumed:</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Cash</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6"/>
        </w:trPr>
        <w:tc>
          <w:tcPr>
            <w:tcW w:w="6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Inventory</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3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26"/>
        </w:trPr>
        <w:tc>
          <w:tcPr>
            <w:tcW w:w="6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Property, fixtures and equipment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16,511</w:t>
            </w:r>
          </w:p>
        </w:tc>
      </w:tr>
      <w:tr>
        <w:trPr>
          <w:trHeight w:val="23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Reacquired rights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21,459</w:t>
            </w:r>
          </w:p>
        </w:tc>
      </w:tr>
      <w:tr>
        <w:trPr>
          <w:trHeight w:val="226"/>
        </w:trPr>
        <w:tc>
          <w:tcPr>
            <w:tcW w:w="6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37,585</w:t>
            </w:r>
          </w:p>
        </w:tc>
      </w:tr>
      <w:tr>
        <w:trPr>
          <w:trHeight w:val="23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Operating right-of-use assets, net of lease positions and prepaid rent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26,199</w:t>
            </w:r>
          </w:p>
        </w:tc>
      </w:tr>
      <w:tr>
        <w:trPr>
          <w:trHeight w:val="226"/>
        </w:trPr>
        <w:tc>
          <w:tcPr>
            <w:tcW w:w="68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(26,853)</w:t>
            </w:r>
          </w:p>
        </w:tc>
      </w:tr>
      <w:tr>
        <w:trPr>
          <w:trHeight w:val="233"/>
        </w:trPr>
        <w:tc>
          <w:tcPr>
            <w:tcW w:w="6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Deferred revenues - gift card liabilities assumed</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891"/>
        </w:trPr>
        <w:tc>
          <w:tcPr>
            <w:tcW w:w="68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2023, the Company acquired substantially all the assets associated with 23 franchise operated First Watch restaurants. The details of each acquisition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7"/>
                <w:szCs w:val="17"/>
                <w:b w:val="1"/>
                <w:bCs w:val="1"/>
                <w:color w:val="auto"/>
              </w:rPr>
              <w:t>DATE OF ACQUISITION</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MAY 1, 2023</w:t>
            </w:r>
          </w:p>
        </w:tc>
        <w:tc>
          <w:tcPr>
            <w:tcW w:w="12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JUNE 26, 2023</w:t>
            </w: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AUGUST 9, 2023</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NOVEMBER 13, 2023</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 under development</w:t>
            </w:r>
          </w:p>
        </w:tc>
        <w:tc>
          <w:tcPr>
            <w:tcW w:w="1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incurred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65"/>
        </w:trPr>
        <w:tc>
          <w:tcPr>
            <w:tcW w:w="4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Deferred franchise fees recognized as a result of termination of pre-existing</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agreement</w:t>
            </w:r>
          </w:p>
        </w:tc>
        <w:tc>
          <w:tcPr>
            <w:tcW w:w="16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rent and other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4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Property, fixtures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Reacquired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162"/>
        </w:trPr>
        <w:tc>
          <w:tcPr>
            <w:tcW w:w="496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Goodwill (primarily expected synergies and assembled workforce;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Pr>
          <w:p>
            <w:pPr>
              <w:spacing w:after="0"/>
              <w:rPr>
                <w:sz w:val="14"/>
                <w:szCs w:val="14"/>
                <w:color w:val="auto"/>
              </w:rPr>
            </w:pPr>
          </w:p>
        </w:tc>
        <w:tc>
          <w:tcPr>
            <w:tcW w:w="540" w:type="dxa"/>
            <w:vAlign w:val="bottom"/>
            <w:vMerge w:val="restart"/>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80" w:type="dxa"/>
            <w:vAlign w:val="bottom"/>
          </w:tcPr>
          <w:p>
            <w:pPr>
              <w:spacing w:after="0"/>
              <w:rPr>
                <w:sz w:val="14"/>
                <w:szCs w:val="14"/>
                <w:color w:val="auto"/>
              </w:rPr>
            </w:pPr>
          </w:p>
        </w:tc>
        <w:tc>
          <w:tcPr>
            <w:tcW w:w="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0" w:type="dxa"/>
            <w:vAlign w:val="bottom"/>
          </w:tcPr>
          <w:p>
            <w:pPr>
              <w:spacing w:after="0"/>
              <w:rPr>
                <w:sz w:val="1"/>
                <w:szCs w:val="1"/>
                <w:color w:val="auto"/>
              </w:rPr>
            </w:pPr>
          </w:p>
        </w:tc>
      </w:tr>
      <w:tr>
        <w:trPr>
          <w:trHeight w:val="213"/>
        </w:trPr>
        <w:tc>
          <w:tcPr>
            <w:tcW w:w="4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deductible)</w:t>
            </w:r>
          </w:p>
        </w:tc>
        <w:tc>
          <w:tcPr>
            <w:tcW w:w="16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right-of-use assets, net of lease positions and prepaid 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0" w:type="dxa"/>
            <w:vAlign w:val="bottom"/>
          </w:tcPr>
          <w:p>
            <w:pPr>
              <w:spacing w:after="0"/>
              <w:rPr>
                <w:sz w:val="1"/>
                <w:szCs w:val="1"/>
                <w:color w:val="auto"/>
              </w:rPr>
            </w:pPr>
          </w:p>
        </w:tc>
      </w:tr>
      <w:tr>
        <w:trPr>
          <w:trHeight w:val="213"/>
        </w:trPr>
        <w:tc>
          <w:tcPr>
            <w:tcW w:w="4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00" w:type="dxa"/>
            <w:vAlign w:val="bottom"/>
          </w:tcPr>
          <w:p>
            <w:pPr>
              <w:spacing w:after="0"/>
              <w:rPr>
                <w:sz w:val="18"/>
                <w:szCs w:val="18"/>
                <w:color w:val="auto"/>
              </w:rPr>
            </w:pP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9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tax liability</w:t>
            </w:r>
          </w:p>
        </w:tc>
        <w:tc>
          <w:tcPr>
            <w:tcW w:w="160" w:type="dxa"/>
            <w:vAlign w:val="bottom"/>
          </w:tcPr>
          <w:p>
            <w:pPr>
              <w:spacing w:after="0"/>
              <w:rPr>
                <w:sz w:val="18"/>
                <w:szCs w:val="18"/>
                <w:color w:val="auto"/>
              </w:rPr>
            </w:pPr>
          </w:p>
        </w:tc>
        <w:tc>
          <w:tcPr>
            <w:tcW w:w="1360" w:type="dxa"/>
            <w:vAlign w:val="bottom"/>
            <w:gridSpan w:val="3"/>
          </w:tcPr>
          <w:p>
            <w:pPr>
              <w:jc w:val="center"/>
              <w:ind w:left="838"/>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revenues - gift card liabilities assumed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634"/>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Revenues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2640" w:type="dxa"/>
            <w:vAlign w:val="bottom"/>
            <w:gridSpan w:val="5"/>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revenues:</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gift card revenue</w:t>
            </w:r>
          </w:p>
        </w:tc>
        <w:tc>
          <w:tcPr>
            <w:tcW w:w="160" w:type="dxa"/>
            <w:vAlign w:val="bottom"/>
          </w:tcPr>
          <w:p>
            <w:pPr>
              <w:spacing w:after="0"/>
              <w:rPr>
                <w:sz w:val="19"/>
                <w:szCs w:val="19"/>
                <w:color w:val="auto"/>
              </w:rPr>
            </w:pPr>
          </w:p>
        </w:tc>
        <w:tc>
          <w:tcPr>
            <w:tcW w:w="1240" w:type="dxa"/>
            <w:vAlign w:val="bottom"/>
            <w:gridSpan w:val="2"/>
          </w:tcPr>
          <w:p>
            <w:pPr>
              <w:jc w:val="center"/>
              <w:ind w:left="958"/>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80" w:type="dxa"/>
            <w:vAlign w:val="bottom"/>
          </w:tcPr>
          <w:p>
            <w:pPr>
              <w:spacing w:after="0"/>
              <w:rPr>
                <w:sz w:val="19"/>
                <w:szCs w:val="19"/>
                <w:color w:val="auto"/>
              </w:rPr>
            </w:pPr>
          </w:p>
        </w:tc>
        <w:tc>
          <w:tcPr>
            <w:tcW w:w="80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franchise fee revenue - current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deferred revenues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franchise fee revenue - non-current</w:t>
            </w:r>
          </w:p>
        </w:tc>
        <w:tc>
          <w:tcPr>
            <w:tcW w:w="160" w:type="dxa"/>
            <w:vAlign w:val="bottom"/>
          </w:tcPr>
          <w:p>
            <w:pPr>
              <w:spacing w:after="0"/>
              <w:rPr>
                <w:sz w:val="19"/>
                <w:szCs w:val="19"/>
                <w:color w:val="auto"/>
              </w:rPr>
            </w:pPr>
          </w:p>
        </w:tc>
        <w:tc>
          <w:tcPr>
            <w:tcW w:w="1240" w:type="dxa"/>
            <w:vAlign w:val="bottom"/>
            <w:gridSpan w:val="2"/>
          </w:tcPr>
          <w:p>
            <w:pPr>
              <w:jc w:val="center"/>
              <w:ind w:left="958"/>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80" w:type="dxa"/>
            <w:vAlign w:val="bottom"/>
          </w:tcPr>
          <w:p>
            <w:pPr>
              <w:spacing w:after="0"/>
              <w:rPr>
                <w:sz w:val="19"/>
                <w:szCs w:val="19"/>
                <w:color w:val="auto"/>
              </w:rPr>
            </w:pPr>
          </w:p>
        </w:tc>
        <w:tc>
          <w:tcPr>
            <w:tcW w:w="800" w:type="dxa"/>
            <w:vAlign w:val="bottom"/>
          </w:tcPr>
          <w:p>
            <w:pPr>
              <w:jc w:val="right"/>
              <w:ind w:right="59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gift card revenue:</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4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4,897</w:t>
            </w:r>
          </w:p>
        </w:tc>
        <w:tc>
          <w:tcPr>
            <w:tcW w:w="80" w:type="dxa"/>
            <w:vAlign w:val="bottom"/>
          </w:tcPr>
          <w:p>
            <w:pPr>
              <w:spacing w:after="0"/>
              <w:rPr>
                <w:sz w:val="19"/>
                <w:szCs w:val="19"/>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w:t>
            </w:r>
          </w:p>
        </w:tc>
      </w:tr>
      <w:tr>
        <w:trPr>
          <w:trHeight w:val="233"/>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Gift card sales</w:t>
            </w:r>
          </w:p>
        </w:tc>
        <w:tc>
          <w:tcPr>
            <w:tcW w:w="4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9,627</w:t>
            </w:r>
          </w:p>
        </w:tc>
      </w:tr>
      <w:tr>
        <w:trPr>
          <w:trHeight w:val="226"/>
        </w:trPr>
        <w:tc>
          <w:tcPr>
            <w:tcW w:w="4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Gift card redemptions</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(8,225)</w:t>
            </w:r>
          </w:p>
        </w:tc>
      </w:tr>
      <w:tr>
        <w:trPr>
          <w:trHeight w:val="233"/>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Gift card breakage</w:t>
            </w:r>
          </w:p>
        </w:tc>
        <w:tc>
          <w:tcPr>
            <w:tcW w:w="4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26"/>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Gift card liabilities assumed through acquisitions</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end of period</w:t>
            </w: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cards are combined in one pool and are not separately identifiable. As such, the revenue recognized consists of gift cards that were part of the deferred revenue balance at the beginning of the period as well as gift cards that were issued during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franchise fee revenue:</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5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2,061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spacing w:after="0"/>
              <w:rPr>
                <w:sz w:val="19"/>
                <w:szCs w:val="19"/>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680" w:type="dxa"/>
            <w:vAlign w:val="bottom"/>
            <w:gridSpan w:val="3"/>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received</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26"/>
        </w:trPr>
        <w:tc>
          <w:tcPr>
            <w:tcW w:w="4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Franchise revenues recognized</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Business combinations - franchise revenues recognized</w:t>
            </w:r>
          </w:p>
        </w:tc>
        <w:tc>
          <w:tcPr>
            <w:tcW w:w="2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end of period</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2,061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Restaurant sales: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In-restaurant dining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829,048</w:t>
            </w:r>
          </w:p>
        </w:tc>
        <w:tc>
          <w:tcPr>
            <w:tcW w:w="34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716,960</w:t>
            </w:r>
          </w:p>
        </w:tc>
        <w:tc>
          <w:tcPr>
            <w:tcW w:w="8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571,048</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Third-party delivery sales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82,049</w:t>
            </w:r>
          </w:p>
        </w:tc>
        <w:tc>
          <w:tcPr>
            <w:tcW w:w="0" w:type="dxa"/>
            <w:vAlign w:val="bottom"/>
          </w:tcPr>
          <w:p>
            <w:pPr>
              <w:spacing w:after="0"/>
              <w:rPr>
                <w:sz w:val="1"/>
                <w:szCs w:val="1"/>
                <w:color w:val="auto"/>
              </w:rPr>
            </w:pPr>
          </w:p>
        </w:tc>
      </w:tr>
      <w:tr>
        <w:trPr>
          <w:trHeight w:val="226"/>
        </w:trPr>
        <w:tc>
          <w:tcPr>
            <w:tcW w:w="4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Take-out sales</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77,863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68,699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66,084</w:t>
            </w:r>
          </w:p>
        </w:tc>
        <w:tc>
          <w:tcPr>
            <w:tcW w:w="0" w:type="dxa"/>
            <w:vAlign w:val="bottom"/>
          </w:tcPr>
          <w:p>
            <w:pPr>
              <w:spacing w:after="0"/>
              <w:rPr>
                <w:sz w:val="1"/>
                <w:szCs w:val="1"/>
                <w:color w:val="auto"/>
              </w:rPr>
            </w:pP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restaurant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1,004,355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877,092</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719,181</w:t>
            </w:r>
          </w:p>
        </w:tc>
        <w:tc>
          <w:tcPr>
            <w:tcW w:w="0" w:type="dxa"/>
            <w:vAlign w:val="bottom"/>
          </w:tcPr>
          <w:p>
            <w:pPr>
              <w:spacing w:after="0"/>
              <w:rPr>
                <w:sz w:val="1"/>
                <w:szCs w:val="1"/>
                <w:color w:val="auto"/>
              </w:rPr>
            </w:pPr>
          </w:p>
        </w:tc>
      </w:tr>
      <w:tr>
        <w:trPr>
          <w:trHeight w:val="49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Franchise revenues: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Royalty and system fund contributions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10,864</w:t>
            </w:r>
          </w:p>
        </w:tc>
        <w:tc>
          <w:tcPr>
            <w:tcW w:w="3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13,464</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0" w:type="dxa"/>
            <w:vAlign w:val="bottom"/>
          </w:tcPr>
          <w:p>
            <w:pPr>
              <w:spacing w:after="0"/>
              <w:rPr>
                <w:sz w:val="1"/>
                <w:szCs w:val="1"/>
                <w:color w:val="auto"/>
              </w:rPr>
            </w:pPr>
          </w:p>
        </w:tc>
      </w:tr>
      <w:tr>
        <w:trPr>
          <w:trHeight w:val="226"/>
        </w:trPr>
        <w:tc>
          <w:tcPr>
            <w:tcW w:w="4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Initial fees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Business combinations - revenues recognized</w:t>
            </w: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607</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franchise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11,555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14,459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10,981</w:t>
            </w:r>
          </w:p>
        </w:tc>
        <w:tc>
          <w:tcPr>
            <w:tcW w:w="0" w:type="dxa"/>
            <w:vAlign w:val="bottom"/>
          </w:tcPr>
          <w:p>
            <w:pPr>
              <w:spacing w:after="0"/>
              <w:rPr>
                <w:sz w:val="1"/>
                <w:szCs w:val="1"/>
                <w:color w:val="auto"/>
              </w:rPr>
            </w:pPr>
          </w:p>
        </w:tc>
      </w:tr>
      <w:tr>
        <w:trPr>
          <w:trHeight w:val="25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1,015,910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730,162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revenues as of December 29, 2024 are expected to be recognized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5,623</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64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gridSpan w:val="7"/>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third-party delivery providers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from franchisees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from vendors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related to gift card sales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accounts receivable</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5,532</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gridSpan w:val="6"/>
          </w:tcPr>
          <w:p>
            <w:pPr>
              <w:jc w:val="center"/>
              <w:ind w:left="3012"/>
              <w:spacing w:after="0"/>
              <w:rPr>
                <w:sz w:val="20"/>
                <w:szCs w:val="20"/>
                <w:color w:val="auto"/>
              </w:rPr>
            </w:pPr>
            <w:r>
              <w:rPr>
                <w:rFonts w:ascii="Times New Roman" w:cs="Times New Roman" w:eastAsia="Times New Roman" w:hAnsi="Times New Roman"/>
                <w:sz w:val="18"/>
                <w:szCs w:val="18"/>
                <w:b w:val="1"/>
                <w:bCs w:val="1"/>
                <w:color w:val="auto"/>
                <w:w w:val="98"/>
              </w:rPr>
              <w:t>FIRST WATCH RESTAURANT GROUP, INC.</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20" w:type="dxa"/>
            <w:vAlign w:val="bottom"/>
            <w:gridSpan w:val="10"/>
          </w:tcPr>
          <w:p>
            <w:pPr>
              <w:jc w:val="center"/>
              <w:ind w:left="1292"/>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25"/>
        </w:trPr>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4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changes in the carrying value of goodwill were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25, 2022</w:t>
            </w: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345,219</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Additions - acquisitions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14,664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359,883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Additions - acquisitions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29, 2024</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398,565</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3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20" w:type="dxa"/>
            <w:vAlign w:val="bottom"/>
            <w:gridSpan w:val="2"/>
            <w:vMerge w:val="continue"/>
          </w:tcPr>
          <w:p>
            <w:pPr>
              <w:spacing w:after="0"/>
              <w:rPr>
                <w:sz w:val="24"/>
                <w:szCs w:val="24"/>
                <w:color w:val="auto"/>
              </w:rPr>
            </w:pPr>
          </w:p>
        </w:tc>
        <w:tc>
          <w:tcPr>
            <w:tcW w:w="43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2"/>
                <w:szCs w:val="12"/>
                <w:color w:val="auto"/>
              </w:rPr>
            </w:pPr>
          </w:p>
        </w:tc>
        <w:tc>
          <w:tcPr>
            <w:tcW w:w="14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13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4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80" w:type="dxa"/>
            <w:vAlign w:val="bottom"/>
            <w:gridSpan w:val="3"/>
            <w:vMerge w:val="continue"/>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Useful Lives</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22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45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Registered trademarks, trade names, domains, liquor licenses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139,202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Franchise rights</w:t>
            </w:r>
          </w:p>
        </w:tc>
        <w:tc>
          <w:tcPr>
            <w:tcW w:w="16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28,394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167,596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8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2"/>
                <w:szCs w:val="12"/>
                <w:color w:val="auto"/>
              </w:rPr>
            </w:pPr>
          </w:p>
        </w:tc>
        <w:tc>
          <w:tcPr>
            <w:tcW w:w="14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540" w:type="dxa"/>
            <w:vAlign w:val="bottom"/>
            <w:gridSpan w:val="2"/>
            <w:vMerge w:val="continue"/>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2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Registered trademarks, trade names, domains, liquor licenses</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Franchise rights</w:t>
            </w:r>
          </w:p>
        </w:tc>
        <w:tc>
          <w:tcPr>
            <w:tcW w:w="16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8 years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3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amortization expense related to definite-lived intangible assets was $5.6 million, $1.5 million and $1.0 million in Fiscal 2024, Fiscal 2023 and Fiscal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of definite-lived intangible assets as of December 29, 2024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4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r>
      <w:tr>
        <w:trPr>
          <w:trHeight w:val="900"/>
        </w:trPr>
        <w:tc>
          <w:tcPr>
            <w:tcW w:w="3320" w:type="dxa"/>
            <w:vAlign w:val="bottom"/>
          </w:tcPr>
          <w:p>
            <w:pPr>
              <w:spacing w:after="0"/>
              <w:rPr>
                <w:sz w:val="24"/>
                <w:szCs w:val="24"/>
                <w:color w:val="auto"/>
              </w:rPr>
            </w:pPr>
          </w:p>
        </w:tc>
        <w:tc>
          <w:tcPr>
            <w:tcW w:w="6220" w:type="dxa"/>
            <w:vAlign w:val="bottom"/>
          </w:tcPr>
          <w:p>
            <w:pPr>
              <w:jc w:val="right"/>
              <w:ind w:right="3738"/>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Fixtures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fixtures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0"/>
                <w:szCs w:val="20"/>
                <w:color w:val="auto"/>
              </w:rPr>
            </w:pPr>
          </w:p>
        </w:tc>
        <w:tc>
          <w:tcPr>
            <w:tcW w:w="2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180" w:type="dxa"/>
            <w:vAlign w:val="bottom"/>
          </w:tcPr>
          <w:p>
            <w:pPr>
              <w:spacing w:after="0"/>
              <w:rPr>
                <w:sz w:val="20"/>
                <w:szCs w:val="20"/>
                <w:color w:val="auto"/>
              </w:rPr>
            </w:pPr>
          </w:p>
        </w:tc>
        <w:tc>
          <w:tcPr>
            <w:tcW w:w="206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 and land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Leased land asset</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240,976</w:t>
            </w: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 (including capitalized software)</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179,965</w:t>
            </w: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lease assets</w:t>
            </w: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w:t>
            </w:r>
          </w:p>
        </w:tc>
      </w:tr>
      <w:tr>
        <w:trPr>
          <w:trHeight w:val="22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27"/>
        </w:trPr>
        <w:tc>
          <w:tcPr>
            <w:tcW w:w="6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property, fixtures and equipment</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555,842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427,089</w:t>
            </w:r>
          </w:p>
        </w:tc>
      </w:tr>
      <w:tr>
        <w:trPr>
          <w:trHeight w:val="226"/>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(181,481)</w:t>
            </w:r>
          </w:p>
        </w:tc>
      </w:tr>
      <w:tr>
        <w:trPr>
          <w:trHeight w:val="2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Construction-in-progress</w:t>
            </w:r>
          </w:p>
        </w:tc>
        <w:tc>
          <w:tcPr>
            <w:tcW w:w="18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17,474</w:t>
            </w:r>
          </w:p>
        </w:tc>
      </w:tr>
      <w:tr>
        <w:trPr>
          <w:trHeight w:val="219"/>
        </w:trPr>
        <w:tc>
          <w:tcPr>
            <w:tcW w:w="63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property, fixtures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361,394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263,082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$52.1 million, $39.7 million and $33.3 million during Fiscal 2024, Fiscal 2023 and Fiscal 2022, respectively.</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Fiscal 2024 and Fiscal 2022, there were no impairment losses recorded. In Fiscal 2023, the Company recognized impairment losses of $0.5 million which primarily related to the long-lived assets of two company-owned restaurants due to their approved closures.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on disposals of assets of $0.5 million, $0.8 million and $0.9 million were recognized in Fiscal 2024, Fiscal 2023 and Fiscal 2022, respectively, primarily related to the write-off of assets retired as a result of the replacement of assets or restaurant closures.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29, 2024 and December 31, 2023, Property, fixtures and equipment, net included $1.2 million in land related to sale and leaseback transactions accounted for as financing obligations.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9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6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4"/>
                <w:szCs w:val="24"/>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220" w:type="dxa"/>
            <w:vAlign w:val="bottom"/>
          </w:tcPr>
          <w:p>
            <w:pPr>
              <w:spacing w:after="0"/>
              <w:rPr>
                <w:sz w:val="24"/>
                <w:szCs w:val="24"/>
                <w:color w:val="auto"/>
              </w:rPr>
            </w:pPr>
          </w:p>
        </w:tc>
        <w:tc>
          <w:tcPr>
            <w:tcW w:w="212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liabilities</w:t>
            </w: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13,944</w:t>
            </w:r>
          </w:p>
        </w:tc>
      </w:tr>
      <w:tr>
        <w:trPr>
          <w:trHeight w:val="22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tax</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6,163</w:t>
            </w: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Self-insurance, general liability and workers’ compensation reserves</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r>
      <w:tr>
        <w:trPr>
          <w:trHeight w:val="22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w:t>
            </w: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card fees</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2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rent</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w:t>
            </w: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tax</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r>
      <w:tr>
        <w:trPr>
          <w:trHeight w:val="226"/>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area maintenance</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2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7,335</w:t>
            </w:r>
          </w:p>
        </w:tc>
      </w:tr>
      <w:tr>
        <w:trPr>
          <w:trHeight w:val="252"/>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4"/>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300" w:type="dxa"/>
            <w:vAlign w:val="bottom"/>
          </w:tcPr>
          <w:p>
            <w:pPr>
              <w:spacing w:after="0"/>
              <w:rPr>
                <w:sz w:val="24"/>
                <w:szCs w:val="24"/>
                <w:color w:val="auto"/>
              </w:rPr>
            </w:pPr>
          </w:p>
        </w:tc>
        <w:tc>
          <w:tcPr>
            <w:tcW w:w="29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Borders>
              <w:top w:val="single" w:sz="8" w:color="auto"/>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Facility</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7.70%</w:t>
            </w:r>
          </w:p>
        </w:tc>
      </w:tr>
      <w:tr>
        <w:trPr>
          <w:trHeight w:val="226"/>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Delayed Draw Term Facility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95,672</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16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7.72%</w:t>
            </w:r>
          </w:p>
        </w:tc>
      </w:tr>
      <w:tr>
        <w:trPr>
          <w:trHeight w:val="226"/>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obligation</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discount and deferred issuance costs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r>
      <w:tr>
        <w:trPr>
          <w:trHeight w:val="227"/>
        </w:trPr>
        <w:tc>
          <w:tcPr>
            <w:tcW w:w="46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Total Debt,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198,271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r>
      <w:tr>
        <w:trPr>
          <w:trHeight w:val="252"/>
        </w:trPr>
        <w:tc>
          <w:tcPr>
            <w:tcW w:w="46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Long-term debt, net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119,767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(“Credit Agreement”), which provided for (i) a $100.0 million term loan A facility (the “Term Facility”) and (ii) a $75.0 million revolving credit facility (the “Revolving Credit Facility” and, together with the Term Facility, collectively, the “Credit Facility”).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2023, the Company entered into Amendment No. 1 to the Credit Agreement to replace the London interbank offer rate (“LIBOR”) with a secured overnight financing rate (“SOFR”) pursuant to the terms and LIBOR fallback language in the Credit Agreement. All outstanding borrowings under the Credit Agreement continued to bear interest at LIBOR until March 27, 2023.</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2024, the Company entered into Amendment No. 2 to the Credit Agreement (the “Second Amendment”) with terms substantially identical to the Credit Agreement to (i) replace the $100.0 million Term Facility with a new $100.0 million term loan A facility (the “New Term Facility”), (ii) replace the $75.0 million Revolving Credit Facility with a new $75.0 million revolving credit facility (the “New Revolving Credit Facility”), (iii) increase the New Revolving Credit Facility by $50.0 million, bringing the aggregate committed amount under the New Revolving Credit Facility to $125.0 million and (iv) add a new $125.0 million incremental delayed draw term loan facility (the “New Delayed Draw Term Facility”). The New Delayed Draw Term Facility is available to FWR for a period of 18 months from the date of the Second Amendment and the proceeds may be used to fund permitted acquisitions and new restaurant capital expenditures, repay revolving loans and/or replenish balance sheet cash, in each case, used for such permitted acquisitions or capital expenditures.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Company drew $97.5 million of the $125.0 million New Delayed Draw Term Facility. The proceeds were used to repay $22.5 million of borrowings under the New Revolving Credit Facility and fund the franchise acquisition on April 15, 2024 that was completed for approximately $75.1 million.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December 29, 2024, borrowings under the Credit Facility, as amended,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In addition, an unused commitment fee of between 37.5 and 50 basis points is paid on the undrawn commitments under the New Revolving Credit Facility and New Delayed Draw Term Facility, also depending on the Total Rent Adjusted Net Leverage Ratio. Refer to Note 11,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variable-to-fixed interest rate swap agreements entered in June 2023 and May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Loans drawn under the New Delayed Draw Term Facility amortize at the same rate per annum applicable to loans under the New Term Facility. The New Term Facility and New Delayed Draw Term Facility are subject to amortization of principal, payable in quarterly installments equal to (i) 1.9% of the original principal amount of the term loans in Fiscal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(ii) 4.4% of the original principal amount of the term loans in the fiscal year ending December 28, 2025, (iii) 5.0% of the original principal amount of the term loans in the fiscal year ending December 27, 2026, (iv) 6.9% of the original principal amount of the term loans in the fiscal year ending December 26, 2027 and (v) 9.4% of the original principal amount of the term loans in the fiscal year ending December 31, 2028. The remaining principal amount outstanding is payable at maturity. The New Term Facility, New Delayed Draw Term Facility and New Revolving Credit Facility mature on January 5, 2029.</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due on the outstanding debt, excluding finance lease liabilities and financing obligations, as of December 29, 2024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143,187</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193,797</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5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interest expense:</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9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 net</w:t>
            </w:r>
          </w:p>
        </w:tc>
        <w:tc>
          <w:tcPr>
            <w:tcW w:w="40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140" w:type="dxa"/>
            <w:vAlign w:val="bottom"/>
          </w:tcPr>
          <w:p>
            <w:pPr>
              <w:spacing w:after="0"/>
              <w:rPr>
                <w:sz w:val="20"/>
                <w:szCs w:val="20"/>
                <w:color w:val="auto"/>
              </w:rPr>
            </w:pPr>
          </w:p>
        </w:tc>
        <w:tc>
          <w:tcPr>
            <w:tcW w:w="3120" w:type="dxa"/>
            <w:vAlign w:val="bottom"/>
            <w:gridSpan w:val="3"/>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98,125</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92,500</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92,201</w:t>
            </w:r>
          </w:p>
        </w:tc>
      </w:tr>
      <w:tr>
        <w:trPr>
          <w:trHeight w:val="226"/>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Delayed Draw Term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95,672</w:t>
            </w: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29,897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standby letters of credit to satisfy workers’ compensation and general liability insurance requirements. The contract amount of the letters of credit approximates fair value. As of December 29, 2024 and December 31, 2023, the open letters of credit totaled approximately $1.7 million and $1.1 million, respectively, and there were no draws against the letters of credit. The Company pays participation fees for the letters of credit based on a varying percentage of the amount not drawn.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Facilities are guaranteed by all of FWR’s wholly-owned domestic restricted subsidiaries, subject to customary exceptions, and by AI Fresh Parent, Inc., a Delaware corporation and the direct parent company of FWR (“Holdings”), and are secured by associated collateral agreements that pledge a lien on substantially all of FWR’s and each guarantor’s assets, including fixed assets and intangibles, in each case, subject to customary exceptions.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restricted subsidiaries are subject to customary affirmative, negative and financial covenants, maintenance of certain ratios, restrictions on additional indebtedness and events of default for facilities of this type (with customary grace periods, as applicable, and lender remedies). FWR was in compliance with covenants under the Credit Agreement as of December 29, 2024 and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Rate Swaps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2023, the Company entered into variable-to-fixed interest rate swaps to hedge a portion of the cash flows of the Company’s variable rate debt. The interest rate swaps have an aggregate notional amount of $90.0 million and mature on October 6, 2026. Under the terms of the interest rate swaps, the Company pays a weighted average fixed rate of 4.16% on the notional amount and will receive payments from the counterparties based on the three-month SOFR rate.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Company entered into two additional variable-to-fixed interest rate swaps. These interest rate swaps have an aggregate notional amount of $60.0 million and mature on June 30, 2027. Under the terms of the interest rate swaps, the Company pays a weighted average fixed rate of 4.42% on the notional amount and will receive payments from the counterparties based on the three-month SOFR rate.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used observable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Company has determined that the impact of the credit valuation adjustments was not significant to the overall valuation. As a result, the derivative was classified as Level 2 of the fair value hierarchy.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reported in Other comprehensive income (loss) related to the interest rate swaps will be reclassified to interest expense as interest payments are made on the Company’s variable-rate debt. During the fiscal years ended December 29, 2024 and December 31, 2023, a total of $1.0 million and $0.5 million was reclassified from Other comprehensive income (loss) as a reduction to interest expense, respectively. Over the next 12 months, the Company estimates that $0.2 million will be reclassified as an increase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18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527,674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420,001</w:t>
            </w:r>
          </w:p>
        </w:tc>
      </w:tr>
      <w:tr>
        <w:trPr>
          <w:trHeight w:val="21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35"/>
        </w:trPr>
        <w:tc>
          <w:tcPr>
            <w:tcW w:w="3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530,398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421,034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40,281</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555,576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441,290</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9"/>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37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614,046</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482,647</w:t>
            </w:r>
          </w:p>
        </w:tc>
      </w:tr>
      <w:tr>
        <w:trPr>
          <w:trHeight w:val="23"/>
        </w:trPr>
        <w:tc>
          <w:tcPr>
            <w:tcW w:w="37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-728345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-454025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-179070</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580" w:space="600"/>
            <w:col w:w="806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ectPr>
          <w:pgSz w:w="11900" w:h="16838" w:orient="portrait"/>
          <w:cols w:equalWidth="0" w:num="1">
            <w:col w:w="11240"/>
          </w:cols>
          <w:pgMar w:left="320" w:top="117" w:right="339" w:bottom="1440" w:gutter="0" w:footer="0" w:header="0"/>
          <w:type w:val="continuous"/>
        </w:sect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expense</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Variable lease expense</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expense: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Classification</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57"/>
        </w:trPr>
        <w:tc>
          <w:tcPr>
            <w:tcW w:w="436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69,908</w:t>
            </w:r>
          </w:p>
        </w:tc>
        <w:tc>
          <w:tcPr>
            <w:tcW w:w="80" w:type="dxa"/>
            <w:vAlign w:val="bottom"/>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56,129</w:t>
            </w:r>
          </w:p>
        </w:tc>
        <w:tc>
          <w:tcPr>
            <w:tcW w:w="100" w:type="dxa"/>
            <w:vAlign w:val="bottom"/>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49,620</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19,249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14,642</w:t>
            </w:r>
          </w:p>
        </w:tc>
        <w:tc>
          <w:tcPr>
            <w:tcW w:w="0" w:type="dxa"/>
            <w:vAlign w:val="bottom"/>
          </w:tcPr>
          <w:p>
            <w:pPr>
              <w:spacing w:after="0"/>
              <w:rPr>
                <w:sz w:val="1"/>
                <w:szCs w:val="1"/>
                <w:color w:val="auto"/>
              </w:rPr>
            </w:pPr>
          </w:p>
        </w:tc>
      </w:tr>
      <w:tr>
        <w:trPr>
          <w:trHeight w:val="21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-933450</wp:posOffset>
            </wp:positionV>
            <wp:extent cx="4140200" cy="4540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40200" cy="45402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-136525</wp:posOffset>
            </wp:positionV>
            <wp:extent cx="414020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4020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600" w:space="560"/>
            <w:col w:w="90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2"/>
        </w:trPr>
        <w:tc>
          <w:tcPr>
            <w:tcW w:w="214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448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89,760</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73,886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64,913</w:t>
            </w:r>
          </w:p>
        </w:tc>
      </w:tr>
      <w:tr>
        <w:trPr>
          <w:trHeight w:val="20"/>
        </w:trPr>
        <w:tc>
          <w:tcPr>
            <w:tcW w:w="2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 Includes contingent rent expense of $1.8 million and $2.1 million and $1.6 million during Fiscal 2024, Fiscal 2023 </w:t>
      </w:r>
      <w:r>
        <w:rPr>
          <w:rFonts w:ascii="Times New Roman" w:cs="Times New Roman" w:eastAsia="Times New Roman" w:hAnsi="Times New Roman"/>
          <w:sz w:val="17"/>
          <w:szCs w:val="17"/>
          <w:color w:val="auto"/>
        </w:rPr>
        <w:t>and Fiscal 2022</w:t>
      </w:r>
      <w:r>
        <w:rPr>
          <w:rFonts w:ascii="Times New Roman" w:cs="Times New Roman" w:eastAsia="Times New Roman" w:hAnsi="Times New Roman"/>
          <w:sz w:val="16"/>
          <w:szCs w:val="16"/>
          <w:color w:val="auto"/>
        </w:rPr>
        <w:t>, respectively.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7"/>
              </w:rPr>
              <w:t>FISCAL YEAR</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cash flows - operating leases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48,467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47,930</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39,546</w:t>
            </w:r>
          </w:p>
        </w:tc>
      </w:tr>
      <w:tr>
        <w:trPr>
          <w:trHeight w:val="23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cash flows - finance leases</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2"/>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Financing cash flows - finance leases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898"/>
        </w:trPr>
        <w:tc>
          <w:tcPr>
            <w:tcW w:w="5200" w:type="dxa"/>
            <w:vAlign w:val="bottom"/>
          </w:tcPr>
          <w:p>
            <w:pPr>
              <w:spacing w:after="0"/>
              <w:rPr>
                <w:sz w:val="24"/>
                <w:szCs w:val="24"/>
                <w:color w:val="auto"/>
              </w:rPr>
            </w:pPr>
          </w:p>
        </w:tc>
        <w:tc>
          <w:tcPr>
            <w:tcW w:w="160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5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3"/>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82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0"/>
        </w:trPr>
        <w:tc>
          <w:tcPr>
            <w:tcW w:w="82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29, 2024, future minimum lease payments for operating and finance leases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20"/>
                <w:szCs w:val="20"/>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00" w:type="dxa"/>
            <w:vAlign w:val="bottom"/>
          </w:tcPr>
          <w:p>
            <w:pPr>
              <w:spacing w:after="0"/>
              <w:rPr>
                <w:sz w:val="20"/>
                <w:szCs w:val="20"/>
                <w:color w:val="auto"/>
              </w:rPr>
            </w:pPr>
          </w:p>
        </w:tc>
        <w:tc>
          <w:tcPr>
            <w:tcW w:w="2180" w:type="dxa"/>
            <w:vAlign w:val="bottom"/>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r>
      <w:tr>
        <w:trPr>
          <w:trHeight w:val="23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3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74,392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656,547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4,477</w:t>
            </w:r>
          </w:p>
        </w:tc>
      </w:tr>
      <w:tr>
        <w:trPr>
          <w:trHeight w:val="227"/>
        </w:trPr>
        <w:tc>
          <w:tcPr>
            <w:tcW w:w="620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Total future minimum lease payments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5,305</w:t>
            </w:r>
          </w:p>
        </w:tc>
      </w:tr>
      <w:tr>
        <w:trPr>
          <w:trHeight w:val="22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(402,884)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w:t>
            </w:r>
          </w:p>
        </w:tc>
      </w:tr>
      <w:tr>
        <w:trPr>
          <w:trHeight w:val="252"/>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present value of lease liabilities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611,280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$116.1 million of executed operating leases that have not commenced as of December 29,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Sale-Leaseback Transactions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Management entered into an agreement relating to the sale and leaseback of the land for use in restaurant operations and received cash proceeds of $3.1 million. As the Company had continuing involvement with the property, the sale of the land did not qualify for sale accounting. As a result, the cash proceeds were recorded as a financing obligation. The balance of the financing obligation was $3.1 million as of December 29, 2024 and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Transaction Expenses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expenses (income), net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costs</w:t>
            </w:r>
          </w:p>
        </w:tc>
        <w:tc>
          <w:tcPr>
            <w:tcW w:w="1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Secondary offering costs</w:t>
            </w:r>
          </w:p>
        </w:tc>
        <w:tc>
          <w:tcPr>
            <w:tcW w:w="21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w:t>
            </w: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Agreement modification</w:t>
            </w:r>
          </w:p>
        </w:tc>
        <w:tc>
          <w:tcPr>
            <w:tcW w:w="1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 revaluation</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net on restaurant closures/relocations</w:t>
            </w:r>
          </w:p>
        </w:tc>
        <w:tc>
          <w:tcPr>
            <w:tcW w:w="1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45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transaction expenses (income), net</w:t>
            </w: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492"/>
              <w:spacing w:after="0"/>
              <w:rPr>
                <w:sz w:val="20"/>
                <w:szCs w:val="20"/>
                <w:color w:val="auto"/>
              </w:rPr>
            </w:pPr>
            <w:r>
              <w:rPr>
                <w:rFonts w:ascii="Times New Roman" w:cs="Times New Roman" w:eastAsia="Times New Roman" w:hAnsi="Times New Roman"/>
                <w:sz w:val="18"/>
                <w:szCs w:val="18"/>
                <w:color w:val="auto"/>
              </w:rPr>
              <w:t>78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and 2023, $1.6 million and $2.1 million of costs were incurred in connection with the acquisition of certain franchise-owned restaurants, which was partially offset by the gain recognized from the lease modification of one company-owned restaurant in 2024 and one company-owned restaurant in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and 2023 $1.3 million and $1.0 million of costs were incurred by the Company in connection with underwritten secondary public offerings of the Company’s common stock by entities affiliated with our majority owner, Advent International L.P., (“Secondary Offerings”). During Fiscal 2022, total costs of $2.0 million were incurred by the Company in connection with Secondary Offerings as well as for the Registration Statement on Form S-3 that allows the Company to sell up to 5,000,000 shares of common stock from time to time in one or more offerings.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revalued the contingent consideration liability initially recognized in connection with the Advent Acquisition (see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 and recorded a gain of $0.6 and a loss of $0.2 million in Fiscal 2024 and Fiscal 2022, respectively. There was no revaluation adjustment recorded for the contingent liability in Fiscal 2023.</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14.</w:t>
        <w:tab/>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provision: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r>
      <w:tr>
        <w:trPr>
          <w:trHeight w:val="219"/>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current provision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w:t>
            </w:r>
          </w:p>
        </w:tc>
      </w:tr>
      <w:tr>
        <w:trPr>
          <w:trHeight w:val="21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provision: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w:t>
            </w: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62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deferred provision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(4,677)</w:t>
            </w:r>
          </w:p>
        </w:tc>
      </w:tr>
      <w:tr>
        <w:trPr>
          <w:trHeight w:val="252"/>
        </w:trPr>
        <w:tc>
          <w:tcPr>
            <w:tcW w:w="6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154"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at federal statutory rate</w:t>
            </w:r>
          </w:p>
        </w:tc>
        <w:tc>
          <w:tcPr>
            <w:tcW w:w="10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tax effect</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12.5</w:t>
            </w:r>
          </w:p>
        </w:tc>
      </w:tr>
      <w:tr>
        <w:trPr>
          <w:trHeight w:val="23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FICA tip credit</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(44.2)</w:t>
            </w:r>
          </w:p>
        </w:tc>
      </w:tr>
      <w:tr>
        <w:trPr>
          <w:trHeight w:val="22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tax credits</w:t>
            </w: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for federal and state</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46.7</w:t>
            </w:r>
          </w:p>
        </w:tc>
      </w:tr>
      <w:tr>
        <w:trPr>
          <w:trHeight w:val="22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w:t>
            </w:r>
          </w:p>
        </w:tc>
      </w:tr>
      <w:tr>
        <w:trPr>
          <w:trHeight w:val="23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Secondary Offerings - costs</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w:t>
            </w:r>
          </w:p>
        </w:tc>
      </w:tr>
      <w:tr>
        <w:trPr>
          <w:trHeight w:val="22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w:t>
            </w:r>
          </w:p>
        </w:tc>
      </w:tr>
      <w:tr>
        <w:trPr>
          <w:trHeight w:val="23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change</w:t>
            </w: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r>
      <w:tr>
        <w:trPr>
          <w:trHeight w:val="22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r>
      <w:tr>
        <w:trPr>
          <w:trHeight w:val="247"/>
        </w:trPr>
        <w:tc>
          <w:tcPr>
            <w:tcW w:w="7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29.6 %</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Fiscal 2024, Fiscal 2023 and Fiscal 2022 was different than the blended federal and state statutory rate mainly due to (i) the change in the valuation allowance on deferred tax assets, (ii) the benefit of tax credits for FICA taxes on certain employees’ tips, (iii) impacts of executive stock-based compensation and (iv) non-deductible costs associated with the Secondary Offerings and the Registration Statement on Form S-3.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6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24"/>
                <w:szCs w:val="24"/>
                <w:color w:val="auto"/>
              </w:rPr>
            </w:pP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220" w:type="dxa"/>
            <w:vAlign w:val="bottom"/>
          </w:tcPr>
          <w:p>
            <w:pPr>
              <w:spacing w:after="0"/>
              <w:rPr>
                <w:sz w:val="24"/>
                <w:szCs w:val="24"/>
                <w:color w:val="auto"/>
              </w:rPr>
            </w:pPr>
          </w:p>
        </w:tc>
        <w:tc>
          <w:tcPr>
            <w:tcW w:w="2180" w:type="dxa"/>
            <w:vAlign w:val="bottom"/>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FICA tip credit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59,671</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49,946</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State tax credits</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operating loss</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22,964</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123,718</w:t>
            </w: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Organizational costs</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limitation</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compensation</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revenues</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Research expenses</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swaps</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26"/>
        </w:trPr>
        <w:tc>
          <w:tcPr>
            <w:tcW w:w="6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Valuation allowance</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(48,111)</w:t>
            </w:r>
          </w:p>
        </w:tc>
      </w:tr>
      <w:tr>
        <w:trPr>
          <w:trHeight w:val="22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158,095</w:t>
            </w:r>
          </w:p>
        </w:tc>
      </w:tr>
      <w:tr>
        <w:trPr>
          <w:trHeight w:val="226"/>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(104,810)</w:t>
            </w:r>
          </w:p>
        </w:tc>
      </w:tr>
      <w:tr>
        <w:trPr>
          <w:trHeight w:val="226"/>
        </w:trPr>
        <w:tc>
          <w:tcPr>
            <w:tcW w:w="63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(41,583)</w:t>
            </w:r>
          </w:p>
        </w:tc>
      </w:tr>
      <w:tr>
        <w:trPr>
          <w:trHeight w:val="23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Intangible assets</w:t>
            </w:r>
          </w:p>
        </w:tc>
        <w:tc>
          <w:tcPr>
            <w:tcW w:w="22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(37,033)</w:t>
            </w: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(217,480)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(183,426)</w:t>
            </w:r>
          </w:p>
        </w:tc>
      </w:tr>
      <w:tr>
        <w:trPr>
          <w:trHeight w:val="25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liabilities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Carryforwards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and expiration dates of tax carryforwards as of December 29, 2024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c>
          <w:tcPr>
            <w:tcW w:w="440" w:type="dxa"/>
            <w:vAlign w:val="bottom"/>
          </w:tcPr>
          <w:p>
            <w:pPr>
              <w:spacing w:after="0"/>
              <w:rPr>
                <w:sz w:val="20"/>
                <w:szCs w:val="20"/>
                <w:color w:val="auto"/>
              </w:rPr>
            </w:pPr>
          </w:p>
        </w:tc>
        <w:tc>
          <w:tcPr>
            <w:tcW w:w="1960" w:type="dxa"/>
            <w:vAlign w:val="bottom"/>
          </w:tcPr>
          <w:p>
            <w:pPr>
              <w:jc w:val="right"/>
              <w:ind w:right="713"/>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net operating loss carryforwards</w:t>
            </w: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77,780</w:t>
            </w:r>
          </w:p>
        </w:tc>
      </w:tr>
      <w:tr>
        <w:trPr>
          <w:trHeight w:val="222"/>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business tax credits (carried forward 20 years)</w:t>
            </w:r>
          </w:p>
        </w:tc>
        <w:tc>
          <w:tcPr>
            <w:tcW w:w="2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2028 - 2044</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59,842</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state net operating loss carryforwards of $23.5 million.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382 of the Internal Revenue Code limits the ability of a company to utilize attribute carryforwards if there is a change in ownership of more than 50% of shareholders over a rolling three-year period. The Company experienced an ownership change in March 2024 associated with the Secondary Offerings. Management completed an analysis and concluded that no carryforwards will expire unused due to the application of Section 382.</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federal loss carryforwards, state loss carryforwards and general business credits were accumulated from operations prior to the August 2017 merger through which the Company became majority owned by Advent. Under the terms of an agreement with the previous stockholders, to the extent that these credits and carryforwards were utilized to reduce taxes payable, the Company was required to pay the previous stockholders an amount equal to tax savings. In accordance with the agreement, an initial contingent consideration liability of $1.2 million was recognized and adjusted periodically for estimated future use and the actual distributions to previous stockholders. By agreement the obligation would lapse following a change in control event.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Advent sold common stock of the Company through a secondary public offering. As a result, Advent no longer controlled a majority of the Company’s issued and outstanding shares of common stock. Advent’s first quarter sale, therefore, represents a change of control event as defined in the agreement. Given this change in control event, the remaining $0.6 million of the contingent consideration liability was released through Transaction expenses, net. Final payment to previous stockholders was made in the second quarter of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an evaluation of the Company's deferred tax assets, Management has recognized a valuation allowance of $57.7 million and $48.1 million as of December 29, 2024 and December 31, 2023, respectively. The valuation allowance primarily relates to the Company’s federal tax credit carryforwards that are not expected to be realized prior to the statutory expiration of the carryforward.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continues to monitor and evaluate the rationale for recording a valuation allowance for deferred tax assets. As the Company’s future taxable earnings increase and deferred tax assets are utilized, it is possible that a portion of the valuation allowance will no longer be needed. Release of any portion of the valuation allowance would result in the recognition of certain deferred tax assets and a decrease to income tax expense in the period of the release. The timing and amount of any release related to future taxable income is currently indeterminable. During the year ended December 31, 2023, a release of the valuation allowance related to certain state loss carryforwards decreased income tax expense by approximately $1.2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deferred tax asset valuation allowance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jc w:val="right"/>
              <w:ind w:right="515"/>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3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26, 2021</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(35,863)</w:t>
            </w:r>
          </w:p>
        </w:tc>
      </w:tr>
      <w:tr>
        <w:trPr>
          <w:trHeight w:val="226"/>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(5,891)</w:t>
            </w:r>
          </w:p>
        </w:tc>
      </w:tr>
      <w:tr>
        <w:trPr>
          <w:trHeight w:val="227"/>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25, 2022</w:t>
            </w: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(41,754)</w:t>
            </w:r>
          </w:p>
        </w:tc>
      </w:tr>
      <w:tr>
        <w:trPr>
          <w:trHeight w:val="226"/>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(6,357)</w:t>
            </w:r>
          </w:p>
        </w:tc>
      </w:tr>
      <w:tr>
        <w:trPr>
          <w:trHeight w:val="227"/>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(48,111)</w:t>
            </w:r>
          </w:p>
        </w:tc>
      </w:tr>
      <w:tr>
        <w:trPr>
          <w:trHeight w:val="226"/>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w:t>
            </w: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(9,553)</w:t>
            </w:r>
          </w:p>
        </w:tc>
      </w:tr>
      <w:tr>
        <w:trPr>
          <w:trHeight w:val="252"/>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29, 2024</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(57,664)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examination by federal, state and local jurisdictions, where applicable. As of December 29, 2024, the tax years that remain subject to examination by major tax jurisdictions under the statute of limitations are from the year 2013 and forward.</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300,000,000 common stock shares with a par value of $0.01 per share and 10,000,000 preferred stock shares with a par value of $0.01 per share pursuant to the Company’s Amended and Restated Certificate of Incorporation.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for each share of common stock held and common stockholders will not have cumulative voting rights. Common stockholders are entitled to receive dividends, as and if declared by the board of directors. In addition, all common stockholders are entitled to share equally on a share-for-share basis in any assets available for distribution to common stockholders upon liquidation, dissolution, or winding up of the Company after payment is made to the preferred stockholders.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funds managed by Advent International L.P. sold 6,000,000 and 8,000,000 shares through Secondary Offerings that were completed on March 12, 2024 and November 13, 2024, respectively. The selling stockholders sold an additional 900,000 shares of common stock on March 12, 2024 pursuant to the terms of the underwriter’s option associated with the secondary public offering. All net proceeds from the sale of the shares of common stock were distributed to the selling stockholders.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2023, funds managed by Advent International L.P. sold 3,500,000 and 3,000,000 shares through Secondary Offerings that were completed on May 18, 2023 and June 13, 2023 respectively. The selling stockholders sold an additional 525,000 and 450,000 shares of common stock on May 18, 2023 and July 3, 2023, respectively, pursuant to the terms of the underwriter’s option associated with each secondary public offering. All net proceeds from the sale of the shares of common stock were distributed to the selling stockholders.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funds managed by Advent sold 4,500,000 shares of the Company’s common stock through a Secondary Offering. The selling stockholders sold an additional 675,000 shares of common stock on October 6, 2022 pursuant to the terms of the underwriter’s option associated with the Secondary Offering. All net proceeds from the sale of the shares of common stock were distributed to the selling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dividends were declared or paid in Fiscal 2024, Fiscal 2023 and Fiscal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Defined Contribution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401(k) savings plan (“401(k) Plan”) which requires the Company to match contributions for participants. In Fiscal 2024 and Fiscal 2023, the Company matched 50% of the first 6% of employees’ wages deferred into the 401(k) Plan. In Fiscal 2022, the Company matched of 25% of the first 6% of employees’ wages deferred into the 401(k) Plan. The 401(k) Plan also allows for additional profit-sharing contributions by the Company at the sole discretion of Management. Company contributions vest over a five-year service period. Total expense recognized for the Company’s contributions to the 401(k) Plan was $1.9 million, $1.1 million and $0.6 million in Fiscal 2024, Fiscal 2023 and Fiscal 2022,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common stock reserved for issuance under the 2021 Equity Plan (“Share Reserve”) for Fiscal 2024, Fiscal 2023 and Fiscal 2022 was 6,416,126, 5,218,292 and 4,034,072 respectively.</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may be issued under the 2021 Equity Plan will automatically increase on the first day of each fiscal year, beginning on December 26, 2022 and continuing for each fiscal year until, and including, the fiscal year ending on December 29, 2030, equal to the least of</w:t>
      </w:r>
    </w:p>
    <w:p>
      <w:pPr>
        <w:jc w:val="both"/>
        <w:ind w:firstLine="8"/>
        <w:spacing w:after="0" w:line="252" w:lineRule="auto"/>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total number of shares of common stock actually issued and outstanding on the last day of the preceding fiscal year, (ii) a number of shares of common stock determined by the board of directors; and (iii) the number of shares of common stock equal to the Share Reserve. If any award granted under the 2021 Equity Plan is cancelled, expired, forfeited, or surrendered without consideration or otherwise terminated without delivery of the shares to the participant, then such unissued shares will be returned to the 2021 Equity Plan and be available for future awards under the 2021 Equity Plan.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and will not be available for future awards under the 2021 Equity Plan.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stock option awards granted under the 2021 Equity Plan during Fiscal 2024 or Fiscal 2023. The non-qualified time-based option awards granted under the 2021 Equity Plan in Fiscal 2022 vest over a three-year requisite service period from the date of grant and expire 10 years after the grant date. Restricted stock units are granted at values equal to the market price of the Company’s common stock on the date of grant. Stock-based compensation expense for awards made under the 2021 Equity Plan is recognized on a straight-line recognition method over the requisite service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Equity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Equity Plan authorizes stock-based awards to be granted for up to 6,138,240 shares of common stock. The awards granted under the 2017 Equity Plan consisted of non-qualified stock options that generally vest over a five-year requisite service period from the date of grant (the “time-based option awards”), as well as upon the occurrence of certain events and if certain market conditions were achieved, the (“performance-based option awards”). Stock-based compensation expense related to the stock option awards issued under the 2017 Plan is recognized on an accelerated recognition method over the requisite service period. All stock options have an exercisable life of no more than 10 years from the date of grant. No awards were granted under the 2017 Equity Plan during Fiscal 2024, Fiscal 2023 and Fiscal 2022, and the Company does not intend to grant any further awards under the 2017 Equity Plan.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of Performance-Based Option Awards - 2017 Equity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2021, the Company’s board of directors amended the 2017 Equity Plan such that the performance-based option awards that convert into time-based option awards upon an initial public offering no longer vest over a period of three years, but instead vest one-third (1/3rd) on each of the first two anniversaries of an initial public offering and one-third (1/3rd) on the 273rd day following the second anniversary of an initial public offering. This was accounted for as a modification, resulting in a new fair value for all the performance-based option awards using an option-pricing model as of the modification date.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2021, the Company’s board of directors modified performance-based option awards that contained a market condition granted under the 2017 Equity Plan, such that the vesting terms for one such tranche were amended to waive the market condition. Accordingly, upon the Company’s IPO, such tranche converted into time-based option awards and vest one-third (1/3rd) on each of the first two anniversaries of the Company’s IPO and one-third (1/3rd) on the 273rd day following the second anniversary of the Company’s IPO. This was accounted for as a modification resulting in a new fair value using the option-pricing model for such performance-based option awards as of the modification date.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2021, the Company’s board of directors modified the terms of performance-based option awards granted under the 2017 Equity Plan to the Company’s Chairman Emeritus. The modification accelerated the vesting period of the performance-based option awards that convert into time-based option awards upon an initial public offering such that they no longer vest one-third (1/3rd) on each of the first two anniversaries of an initial public offering and one-third (1/3rd) on the 273rd day following the second anniversary of an initial public offering, but instead will vest on August 1, 2022. Additionally, the exercise period of these time-based and performance-based vested option awards was modified such that any vested option may be exercised at any time prior to the 10th anniversary of the original grant date. These actions were accounted for as modifications and resulted in an increase of $0.3 million to the fair value of these awards.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consummation of the Company’s IPO in October 2021, certain performance-based option awards converted into time-based option awards and stock compensation expense of $2.4 million was recognized in the fourth quarter of Fiscal 2021. The remaining expense is being recognized on an accelerated recognition method over the remaining service period. An immediate one-time charge of $5.6 million was recognized upon closing of the IPO, which included (i) the expense from the date of the modifications through the IPO date and (ii) the expense related to performance-based option awards for which the market condition was not satisfied upon the IPO.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Fiscal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21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20" w:type="dxa"/>
            <w:vAlign w:val="bottom"/>
            <w:gridSpan w:val="2"/>
            <w:vMerge w:val="continue"/>
          </w:tcPr>
          <w:p>
            <w:pPr>
              <w:spacing w:after="0"/>
              <w:rPr>
                <w:sz w:val="14"/>
                <w:szCs w:val="14"/>
                <w:color w:val="auto"/>
              </w:rPr>
            </w:pPr>
          </w:p>
        </w:tc>
        <w:tc>
          <w:tcPr>
            <w:tcW w:w="21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20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59"/>
              <w:spacing w:after="0" w:line="162" w:lineRule="exact"/>
              <w:rPr>
                <w:sz w:val="20"/>
                <w:szCs w:val="20"/>
                <w:color w:val="auto"/>
              </w:rPr>
            </w:pPr>
            <w:r>
              <w:rPr>
                <w:rFonts w:ascii="Times New Roman" w:cs="Times New Roman" w:eastAsia="Times New Roman" w:hAnsi="Times New Roman"/>
                <w:sz w:val="16"/>
                <w:szCs w:val="16"/>
                <w:b w:val="1"/>
                <w:bCs w:val="1"/>
                <w:color w:val="auto"/>
              </w:rPr>
              <w:t>VALUE</w:t>
            </w:r>
          </w:p>
        </w:tc>
        <w:tc>
          <w:tcPr>
            <w:tcW w:w="21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320" w:type="dxa"/>
            <w:vAlign w:val="bottom"/>
          </w:tcPr>
          <w:p>
            <w:pPr>
              <w:spacing w:after="0"/>
              <w:rPr>
                <w:sz w:val="18"/>
                <w:szCs w:val="18"/>
                <w:color w:val="auto"/>
              </w:rPr>
            </w:pPr>
          </w:p>
        </w:tc>
        <w:tc>
          <w:tcPr>
            <w:tcW w:w="1700" w:type="dxa"/>
            <w:vAlign w:val="bottom"/>
          </w:tcPr>
          <w:p>
            <w:pPr>
              <w:jc w:val="right"/>
              <w:ind w:right="4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120" w:type="dxa"/>
            <w:vAlign w:val="bottom"/>
          </w:tcPr>
          <w:p>
            <w:pPr>
              <w:jc w:val="center"/>
              <w:ind w:left="19"/>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4,347,186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2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(610,958)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3,701,017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December 29, 2024</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3,376,772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29,721</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the Nasdaq Global Select Market on the last day of the trading period. The total intrinsic value of stock options exercised was $6.6 million, $5.7 million, and $1.1 million during Fiscal 2024, Fiscal 2023 and Fiscal 2022,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Fiscal 2024 is as follows: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260" w:type="dxa"/>
            <w:vAlign w:val="bottom"/>
          </w:tcPr>
          <w:p>
            <w:pPr>
              <w:spacing w:after="0"/>
              <w:rPr>
                <w:sz w:val="24"/>
                <w:szCs w:val="24"/>
                <w:color w:val="auto"/>
              </w:rPr>
            </w:pPr>
          </w:p>
        </w:tc>
        <w:tc>
          <w:tcPr>
            <w:tcW w:w="2440" w:type="dxa"/>
            <w:vAlign w:val="bottom"/>
            <w:vMerge w:val="restart"/>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December 31, 2023</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226"/>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(874,575)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0" w:type="dxa"/>
            <w:vAlign w:val="bottom"/>
          </w:tcPr>
          <w:p>
            <w:pPr>
              <w:spacing w:after="0"/>
              <w:rPr>
                <w:sz w:val="1"/>
                <w:szCs w:val="1"/>
                <w:color w:val="auto"/>
              </w:rPr>
            </w:pPr>
          </w:p>
        </w:tc>
      </w:tr>
      <w:tr>
        <w:trPr>
          <w:trHeight w:val="252"/>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December 29, 2024</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stock options granted during Fiscal 2024 or Fiscal 2023. The weighted average grant date fair value of options granted during Fiscal 2022 was $6.81. The total grant date fair value of stock options that vested during Fiscal 2024, Fiscal 2023 and Fiscal 2022 was $6.8 million, $7.1 million and $7.4 million,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 Options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valuation model is used to estimate the fair value of stock option awards granted. The assumptions utilized to estimate the grant date fair value of these awards granted in Fiscal 2022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expected term (years)</w:t>
            </w:r>
          </w:p>
        </w:tc>
        <w:tc>
          <w:tcPr>
            <w:tcW w:w="4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6"/>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expected volatility</w:t>
            </w:r>
          </w:p>
        </w:tc>
        <w:tc>
          <w:tcPr>
            <w:tcW w:w="4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52.4 %</w:t>
            </w:r>
          </w:p>
        </w:tc>
      </w:tr>
      <w:tr>
        <w:trPr>
          <w:trHeight w:val="23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4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22"/>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4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bl>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did not have sufficient historical stock option exercise activity and therefore the expected term of stock options granted in Fiscal 2022 is estimated using the simplified method, which represents the mid-point between the vesting period and the contractual term for each grant. The expected volatility of stock options is based on the historical volatilities of a set of publicly traded peer companies in a similar industry as the Company lacks company-specific historical or implied volatility information.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RSU activity for Fiscal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238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INTRINSIC VALUE</w:t>
            </w:r>
          </w:p>
        </w:tc>
      </w:tr>
      <w:tr>
        <w:trPr>
          <w:trHeight w:val="216"/>
        </w:trPr>
        <w:tc>
          <w:tcPr>
            <w:tcW w:w="3320" w:type="dxa"/>
            <w:vAlign w:val="bottom"/>
          </w:tcPr>
          <w:p>
            <w:pPr>
              <w:spacing w:after="0"/>
              <w:rPr>
                <w:sz w:val="18"/>
                <w:szCs w:val="18"/>
                <w:color w:val="auto"/>
              </w:rPr>
            </w:pPr>
          </w:p>
        </w:tc>
        <w:tc>
          <w:tcPr>
            <w:tcW w:w="2380" w:type="dxa"/>
            <w:vAlign w:val="bottom"/>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8"/>
                <w:szCs w:val="18"/>
                <w:color w:val="auto"/>
              </w:rPr>
            </w:pPr>
          </w:p>
        </w:tc>
        <w:tc>
          <w:tcPr>
            <w:tcW w:w="2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580" w:type="dxa"/>
            <w:vAlign w:val="bottom"/>
          </w:tcPr>
          <w:p>
            <w:pPr>
              <w:spacing w:after="0"/>
              <w:rPr>
                <w:sz w:val="18"/>
                <w:szCs w:val="18"/>
                <w:color w:val="auto"/>
              </w:rPr>
            </w:pPr>
          </w:p>
        </w:tc>
        <w:tc>
          <w:tcPr>
            <w:tcW w:w="2400" w:type="dxa"/>
            <w:vAlign w:val="bottom"/>
          </w:tcPr>
          <w:p>
            <w:pPr>
              <w:jc w:val="right"/>
              <w:ind w:right="936"/>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521,042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10,473</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475,328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(197,427)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r>
      <w:tr>
        <w:trPr>
          <w:trHeight w:val="226"/>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(39,222)</w:t>
            </w:r>
          </w:p>
        </w:tc>
        <w:tc>
          <w:tcPr>
            <w:tcW w:w="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r>
      <w:tr>
        <w:trPr>
          <w:trHeight w:val="25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29, 2024</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759,721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475,328 RSUs granted in Fiscal 2024, 353,683 will vest ratably over a period of three years from the grant date, 50,049 will vest one year from the grant date, and 50% of the remaining 71,596 will vest two years from the grant date and 50% will vest three years from the grant date.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restricted stock units that vested in Fiscal 2024 and Fiscal 2023 was $4.7 million and $0.7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$8.5 million, $7.6 million and $10.4 million during Fiscal 2024, Fiscal 2023 and Fiscal 2022, respectively.</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total related income tax benefit for stock-based compensation expense was $0.8 million, $0.6 million and $2.1 million for Fiscal 2024, Fiscal 2023 and Fiscal 2022,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stock options exercised was $6.4 million, $5.8 million and $1.4 million for Fiscal 2024, Fiscal 2023 and Fiscal 2022, respectively. The tax benefit realized from stock option exercises and vesting of restricted stock units was $2.3 million, $1.6 million and $0.3 million in Fiscal 2024, Fiscal 2023 and Fiscal 2022,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December 29,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UNRECOGNIZED STOCK-BASED</w:t>
            </w:r>
          </w:p>
        </w:tc>
        <w:tc>
          <w:tcPr>
            <w:tcW w:w="4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REMAINING WEIGHTED AVERAGE</w:t>
            </w:r>
          </w:p>
        </w:tc>
      </w:tr>
      <w:tr>
        <w:trPr>
          <w:trHeight w:val="162"/>
        </w:trPr>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2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7"/>
                <w:szCs w:val="17"/>
                <w:b w:val="1"/>
                <w:bCs w:val="1"/>
                <w:color w:val="auto"/>
                <w:w w:val="99"/>
              </w:rPr>
              <w:t>COMPENSATION EXPENSE</w:t>
            </w:r>
          </w:p>
        </w:tc>
        <w:tc>
          <w:tcPr>
            <w:tcW w:w="410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9"/>
              </w:rPr>
              <w:t>VESTING PERIOD</w:t>
            </w:r>
          </w:p>
        </w:tc>
      </w:tr>
      <w:tr>
        <w:trPr>
          <w:trHeight w:val="228"/>
        </w:trPr>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(in years)</w:t>
            </w:r>
          </w:p>
        </w:tc>
      </w:tr>
      <w:tr>
        <w:trPr>
          <w:trHeight w:val="225"/>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3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2"/>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3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10,647</w:t>
            </w:r>
          </w:p>
        </w:tc>
        <w:tc>
          <w:tcPr>
            <w:tcW w:w="100" w:type="dxa"/>
            <w:vAlign w:val="bottom"/>
          </w:tcPr>
          <w:p>
            <w:pPr>
              <w:spacing w:after="0"/>
              <w:rPr>
                <w:sz w:val="19"/>
                <w:szCs w:val="19"/>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bl>
    <w:p>
      <w:pPr>
        <w:spacing w:after="0" w:line="3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various purchase obligations in the ordinary course of business, generally of a short-term nature. These purchase obligations include commitments for inventory purchases, marketing-related contracts, corporate sponsorships, software/license commitments and service contracts. We also enter into long-term, exclusive contracts with vendors to supply us with certain goods and services, however, they generally do not include firm minimum purchase commitments.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Unconditional Purchase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certain off–balance sheet commitments that require the future purchase of goods or services</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(“unconditional purchase obligations”). Future payments of noncancellable unconditional purchase obligations with a remaining term in excess of one year were $11.7 million and $4.8 million as of December 29, 2024 and December 31, 2023, respectively. The majority of these purchase obligations are due within three years, however commitments with various vendors extend through 2029. The Company’s unconditional purchase obligations primarily consist of payments for subscriptions, technology, restaurant level services, and marketing-related platforms.</w:t>
      </w:r>
    </w:p>
    <w:p>
      <w:pPr>
        <w:spacing w:after="0" w:line="21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July 2022, Management entered into an agreement with a vendor to purchase product. The agreement will remain in effect through the later of (i) the purchase of 585,940 gallons of product or (ii) 5 years from the effective date of the agreement. The remaining minimum purchase commitment as of December 29, 2024 was approximately $5.3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ultimate liability with respect to these matters was not material as of December 29, 2024. In the event any litigation losses become probable and estimable, the Company will recognize any anticipated losses.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Unclaimed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In 2023, the Company expensed $0.8 million in General and administrative expenses associated with the State of Delaware Abandoned or Unclaimed Properly Voluntary Disclosure Program, into which the Company had applied and been accepted in 2022. In the second quarter of 2024, $0.7 million of the previously accrued amount was paid to the State of Delaware in resolution of escheat matters arising from unclaimed gift card balances. The Company believes any additional payments to the State of Delaware to resolve the remaining escheat matters will not be significant.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the Company is not currently required to remit any amounts relating to future unredeemed gift cards to states as the Company’s subsidiary that is the issuer of our gift cards was re-domiciled in Florida, which exempts gift cards from the abandoned and unclaimed property laws.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to evaluate performance and make key operating decisions, such as investments in our long-term growth strategy. This measure is also used to monitor budget against actual results.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Segment accounting policies are consistent with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Revenue is derived from sales of food and beverage, net discounts, by our restaurants as well as franchise royalty, system fund and initial franchise fees. The measure of total assets for the reporting segment is reported on the consolidated balance sheets as total assets. The measure of capital expenditures for the reporting segment is reported on the consolidated statements of cash flows as total capital expenditures.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consolidated net income for the segment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r>
      <w:tr>
        <w:trPr>
          <w:trHeight w:val="22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1,015,910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891,551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730,162</w:t>
            </w:r>
          </w:p>
        </w:tc>
      </w:tr>
      <w:tr>
        <w:trPr>
          <w:trHeight w:val="20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3"/>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Food and beverage costs</w:t>
            </w: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223,097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197,374</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172,561</w:t>
            </w:r>
          </w:p>
        </w:tc>
      </w:tr>
      <w:tr>
        <w:trPr>
          <w:trHeight w:val="226"/>
        </w:trPr>
        <w:tc>
          <w:tcPr>
            <w:tcW w:w="3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Labor and other related expenses</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294,010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238,257</w:t>
            </w:r>
          </w:p>
        </w:tc>
      </w:tr>
      <w:tr>
        <w:trPr>
          <w:trHeight w:val="233"/>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restaurant operating expenses</w:t>
            </w: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151,968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114,476</w:t>
            </w:r>
          </w:p>
        </w:tc>
      </w:tr>
      <w:tr>
        <w:trPr>
          <w:trHeight w:val="226"/>
        </w:trPr>
        <w:tc>
          <w:tcPr>
            <w:tcW w:w="3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Occupancy expenses</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59,919</w:t>
            </w:r>
          </w:p>
        </w:tc>
      </w:tr>
      <w:tr>
        <w:trPr>
          <w:trHeight w:val="233"/>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Pre-opening expenses</w:t>
            </w: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10,374</w:t>
            </w:r>
          </w:p>
        </w:tc>
      </w:tr>
      <w:tr>
        <w:trPr>
          <w:trHeight w:val="233"/>
        </w:trPr>
        <w:tc>
          <w:tcPr>
            <w:tcW w:w="37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2"/>
                <w:szCs w:val="22"/>
                <w:color w:val="auto"/>
                <w:vertAlign w:val="superscript"/>
              </w:rPr>
              <w:t>(1)</w:t>
            </w: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104,745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95,517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74,585</w:t>
            </w: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41,223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34,230</w:t>
            </w:r>
          </w:p>
        </w:tc>
      </w:tr>
      <w:tr>
        <w:trPr>
          <w:trHeight w:val="233"/>
        </w:trPr>
        <w:tc>
          <w:tcPr>
            <w:tcW w:w="37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2"/>
                <w:szCs w:val="22"/>
                <w:color w:val="auto"/>
                <w:vertAlign w:val="superscript"/>
              </w:rPr>
              <w:t>(2)</w:t>
            </w: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w:t>
            </w: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r>
      <w:tr>
        <w:trPr>
          <w:trHeight w:val="23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r>
      <w:tr>
        <w:trPr>
          <w:trHeight w:val="22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5,684</w:t>
            </w:r>
          </w:p>
        </w:tc>
      </w:tr>
      <w:tr>
        <w:trPr>
          <w:trHeight w:val="252"/>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excludes stock-based compensation presented separately.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included in segment net income primarily includes transaction expenses, and impairments and loss on disposal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25,385</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6,907</w:t>
            </w:r>
          </w:p>
        </w:tc>
        <w:tc>
          <w:tcPr>
            <w:tcW w:w="0" w:type="dxa"/>
            <w:vAlign w:val="bottom"/>
          </w:tcPr>
          <w:p>
            <w:pPr>
              <w:spacing w:after="0"/>
              <w:rPr>
                <w:sz w:val="1"/>
                <w:szCs w:val="1"/>
                <w:color w:val="auto"/>
              </w:rPr>
            </w:pPr>
          </w:p>
        </w:tc>
      </w:tr>
      <w:tr>
        <w:trPr>
          <w:trHeight w:val="23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60,365,393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59,531,404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59,097,512</w:t>
            </w:r>
          </w:p>
        </w:tc>
        <w:tc>
          <w:tcPr>
            <w:tcW w:w="0" w:type="dxa"/>
            <w:vAlign w:val="bottom"/>
          </w:tcPr>
          <w:p>
            <w:pPr>
              <w:spacing w:after="0"/>
              <w:rPr>
                <w:sz w:val="1"/>
                <w:szCs w:val="1"/>
                <w:color w:val="auto"/>
              </w:rPr>
            </w:pPr>
          </w:p>
        </w:tc>
      </w:tr>
      <w:tr>
        <w:trPr>
          <w:trHeight w:val="233"/>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62,351,222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61,191,613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60,140,045</w:t>
            </w:r>
          </w:p>
        </w:tc>
        <w:tc>
          <w:tcPr>
            <w:tcW w:w="0" w:type="dxa"/>
            <w:vAlign w:val="bottom"/>
          </w:tcPr>
          <w:p>
            <w:pPr>
              <w:spacing w:after="0"/>
              <w:rPr>
                <w:sz w:val="1"/>
                <w:szCs w:val="1"/>
                <w:color w:val="auto"/>
              </w:rPr>
            </w:pPr>
          </w:p>
        </w:tc>
      </w:t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 - basic</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3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 - diluted</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167"/>
        </w:trPr>
        <w:tc>
          <w:tcPr>
            <w:tcW w:w="62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Stock options outstanding not included in diluted net income per common share as their</w:t>
            </w: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13,656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1,787,517</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is anti-dilutive</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Restricted stock units outstanding not included in diluted net income per common share</w:t>
            </w: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their effect is anti-dilutive</w:t>
            </w: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preferred stock using the two-class method, as well as for stock options and restricted stock units outstanding and unvested as of the respective periods using the treasury method.</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Condensed Financial Information of Registrant (Parent Company Only)</w:t>
      </w:r>
    </w:p>
    <w:p>
      <w:pPr>
        <w:spacing w:after="0" w:line="3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(PARENT COMPANY ONLY)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29, 2024</w:t>
            </w:r>
          </w:p>
        </w:tc>
        <w:tc>
          <w:tcPr>
            <w:tcW w:w="200" w:type="dxa"/>
            <w:vAlign w:val="bottom"/>
          </w:tcPr>
          <w:p>
            <w:pPr>
              <w:spacing w:after="0"/>
              <w:rPr>
                <w:sz w:val="20"/>
                <w:szCs w:val="20"/>
                <w:color w:val="auto"/>
              </w:rPr>
            </w:pPr>
          </w:p>
        </w:tc>
        <w:tc>
          <w:tcPr>
            <w:tcW w:w="210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in subsidiaries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595,389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561,284</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 and outstanding</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64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stock; $0.01 par value; 300,000,000 shares authorized; 60,700,090 and 59,891,705</w:t>
            </w:r>
          </w:p>
        </w:tc>
        <w:tc>
          <w:tcPr>
            <w:tcW w:w="3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issued and outstanding at December 29, 2024 and December 31, 2023, respectively</w:t>
            </w:r>
          </w:p>
        </w:tc>
        <w:tc>
          <w:tcPr>
            <w:tcW w:w="32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649,045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634,099</w:t>
            </w:r>
          </w:p>
        </w:tc>
        <w:tc>
          <w:tcPr>
            <w:tcW w:w="0" w:type="dxa"/>
            <w:vAlign w:val="bottom"/>
          </w:tcPr>
          <w:p>
            <w:pPr>
              <w:spacing w:after="0"/>
              <w:rPr>
                <w:sz w:val="1"/>
                <w:szCs w:val="1"/>
                <w:color w:val="auto"/>
              </w:rPr>
            </w:pPr>
          </w:p>
        </w:tc>
      </w:tr>
      <w:tr>
        <w:trPr>
          <w:trHeight w:val="226"/>
        </w:trPr>
        <w:tc>
          <w:tcPr>
            <w:tcW w:w="6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(72,747)</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0" w:type="dxa"/>
            <w:vAlign w:val="bottom"/>
          </w:tcPr>
          <w:p>
            <w:pPr>
              <w:spacing w:after="0"/>
              <w:rPr>
                <w:sz w:val="1"/>
                <w:szCs w:val="1"/>
                <w:color w:val="auto"/>
              </w:rPr>
            </w:pPr>
          </w:p>
        </w:tc>
      </w:tr>
      <w:tr>
        <w:trPr>
          <w:trHeight w:val="227"/>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equity attributable to First Watch Restaurant Group, Inc.</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595,389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561,284</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FIRST WATCH RESTAURANT GROUP,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in net income of subsidiaries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and comprehensive income</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24,718</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6,907</w:t>
            </w: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Net income per common share attributable to First Watch Restaurant Group, Inc. -</w:t>
            </w:r>
          </w:p>
        </w:tc>
        <w:tc>
          <w:tcPr>
            <w:tcW w:w="34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0.43</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88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Net income per common share attributable to First Watch Restaurant Group, Inc. -</w:t>
            </w:r>
          </w:p>
        </w:tc>
        <w:tc>
          <w:tcPr>
            <w:tcW w:w="3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tcPr>
          <w:p>
            <w:pPr>
              <w:spacing w:after="0"/>
              <w:rPr>
                <w:sz w:val="14"/>
                <w:szCs w:val="14"/>
                <w:color w:val="auto"/>
              </w:rPr>
            </w:pPr>
          </w:p>
        </w:tc>
        <w:tc>
          <w:tcPr>
            <w:tcW w:w="3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 - basic</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60,365,393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59,531,404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59,097,512</w:t>
            </w: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 - diluted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62,351,222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61,191,613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60,140,045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Statements of cash flows have not been presented as First Watch Restaurant Group, Inc. did not have any cash as of, or for Fiscal 2024, Fiscal 2023 and Fiscal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is a holding company without any operations of its own (the “Parent Company”). Pursuant to the terms of the Credit Agreement discussed in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and certain subsidiaries of the Company have restrictions on their ability to, among other things, (i) incur additional indebtedness, pay dividends or make certain intercompany loans and advances, and (ii) exceed a maximum total rent adjusted net leverage ratio or fall below a minimum fixed charge coverage ratio. As a result of these restrictions, these parent company financial statements have been prepared in accordance with Rule 12-04 of Regulation S-X, as restricted net assets of the Company’s subsidiaries (as defined in Rule 4-08(e)(3) of Regulation S-X) exceed 25% of the Company’s consolidated net assets as of December 29, 2024 and December 31, 2023.</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condensed financial statements have been prepared on a “parent-only” basis. These condensed parent company financial statements have been prepared using the same accounting principles and policies described in the notes to the Company’s consolidated financial statements, with the only exception being that the parent company accounts for its subsidiaries using the equity method. Certain information and footnote disclosures normally included in financial statements prepared in accordance with GAAP have been condensed or omitted. The accompanying financial information should be read in conjunction with the accompanying Company’s consolidated financial statements and related notes thereto.</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8, 2024, the Company executed an asset purchase agreement to acquire 16 restaurants from a franchisee, together with other associated assets, including, but not limited to, franchise and development rights for cash of approximately $49.0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12, 2025, the Company executed an asset purchase agreement to acquire 3 restaurants from a franchisee, together with other associated assets, including, but not limited to, franchise and development rights for cash of approximately $7.0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dates of the purchases are subject to the satisfaction of certain customary closing conditions set forth in the respective asset purchase agreements.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Annual Report on Form 10-K, is recorded, processed, summarized and reported within the time periods specified in the SEC’s rules and forms.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Annual Report on Form 10-K. Due to the material weaknesses in our internal control over financial reporting discussed below, our Chief Executive Officer and Chief Financial Officer concluded that, as of December 29, 2024,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Annual Report on Form 10-K fairly present, in all material respects, our financial position, results of operations and cash flows for the periods presented in conformity with GAAP.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and 15d-15(f). Under the supervision and with the participation of our management, including our CEO and CFO, we conducted an evaluation of the effectiveness of our internal control over financial reporting. Management has adopted the framework in “Internal Control-Integrated Framework” (2013) issued by the Committee of Sponsoring Organizations of the Treadway Commission (“COSO”).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Management’s assessment of the effectiveness of the Company’s internal control over financial reporting as of December 29, 2024 based on the COSO framework, Management has determined that the Company’s internal control over financial reporting as of December 29, 2024 was not effective due to the material weaknesses discussed below. 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additional material weaknesses as 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These material weaknesses resulted in adjustments to accruals and within the statement of cash flows in our fiscal 2018 consolidated financial statements, which were recorded prior to the issuance of our fiscal 2018 consolidated financial statements; adjustments to the income tax benefit, deferred taxes, goodwill, and liabilities in our fiscal 2018 consolidated financial statements, which were recorded prior to issuance and in immaterial adjustments to the income tax benefit and deferred taxes and related disclosures in the fiscal 2017 and 2019 consolidated financial statements, which were corrected in the fiscal 2019 and 2020 consolidated financial statements, respectively. 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opine on the effectiveness of our internal control over financial reporting until we are no longer an “emerging growth company” as defined in the JOBS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and Status of Remaining Material Weaknesses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continue to implement measures designed to improve the Company’s internal control over financial reporting to address and remediate the previously identified material weaknesses. To date, such measures include the following:</w:t>
      </w:r>
    </w:p>
    <w:p>
      <w:pPr>
        <w:spacing w:after="0" w:line="54" w:lineRule="exact"/>
        <w:rPr>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an account reconciliation policy that provides the framework to ensure the performance of consistent procedures in reconciling general ledger balances to supporting documentation.</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automate journal entries and segregate journal entry creation from journal entry approval authority.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material weaknesses have not been remediated as of December 29, 2024, Management is devoting substantial resources to the ongoing remediation efforts. As we continue to evaluate and work to improve our internal control over financial reporting, we may take additional measures to address control deficiencies, or we may modify certain of the remediation measures described above. The material weaknesses will not be considered remediated until the applicable controls operate for a sufficient period of time and Management has concluded, through testing, that these controls are designed and operating effectively.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previously disclosed in our December 31, 2023 Annual Report on Form 10-K, Management identified a material weakness in accounting for income taxes related to the recording of deferred income taxes and the assessment of the realization of deferred tax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the following measures to remediate the previously identified material weakness related to accounting for income taxes:</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Staffed our internal tax department with the appropriate tax technical and public company expertise in accounting for income taxes.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key controls, and enhanced the design of existing controls, for the interim and year-end income tax provision processes.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frequency of detailed income tax provision reviews from annually to quarterly.</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process for sourcing and validating data used in the preparation of the provision for income taxes to ensure completeness and accuracy.</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an interactive work management and collaboration tool that facilitates Management’s provision review steps and maintains the appropriate evidence of review.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these measures and based on testing of the design and operating effectiveness of the newly designed and enhanced controls, Management concluded the controls have been in place and have operated effectively for a sufficient period of time to demonstrate the material weakness related to accounting for income taxes has been remediated as of December 29,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December 29, 2024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December 29, 2024, none of our directors or officers adopted or terminated a “Rule 10b5-1 trading arrangement” or “non-Rule 10b5-1 trading arrangement,” as those terms are defined in Regulation S-K, Item 408.</w:t>
      </w:r>
    </w:p>
    <w:p>
      <w:pPr>
        <w:spacing w:after="0" w:line="266" w:lineRule="exact"/>
        <w:rPr>
          <w:sz w:val="20"/>
          <w:szCs w:val="20"/>
          <w:color w:val="auto"/>
        </w:rPr>
      </w:pPr>
    </w:p>
    <w:p>
      <w:pPr>
        <w:ind w:right="52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among others, our chief executive officer, chief financial officer (who is also our principal accounting officer), and other finance and accounting leaders, which is a “code of ethics” as defined by applicable rules of the SEC. This code is publicly available on our website. The Internet address for our website is www.firstwatch.com, and the Code of Ethics and Business Conduct may be found on our main webpage by clicking first on “Investors” and then on “Corporate Governance” and next on “Code of Ethics and Business Conduct.” If we make any amendments to this code other than technical, administrative or other non-substantive amendments, or grant any waivers, including implicit waivers, from a provision of this code to our chief executive officer, chief financial officer (who is also our principal accounting officer), or other finance and accounting leaders, we will disclose the nature of the amendment or waiver, its effective date and to whom it applies on our website as specified above or in a report on Form 8-K filed with the SEC.</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herein by reference to the sections entitled “Proposal 1: Director Election Proposal,” “Information Regarding the board of directors and Corporate Governance,” “Executive Officers,” and “Insider Trading Policies and Procedures” in our definitive Proxy Statement for the Annual Meeting of Stockholders expected to be held on May 21, 2025 (the “Proxy Statement”).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disclosure of delinquent Section 16(a) reports, if any, in our Proxy Statement, and such disclosure, if any,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“Executive Compensation,” “Outstanding Equity Awards at Fiscal Year-End,” “Director Compensation,” and “Compensation Committee Interlocks and Insider Participation,”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“Security Ownership of Certain Beneficial Owners and Management” in the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 entitled “Certain Relationships and Related Transactions” and “Information Regarding the board of directors and Corporate Governance” in the Proxy Statement.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“Proposal 2: Auditor Ratification Proposal,” “Auditors Fees and Services” and “Policy for Approval of Audit and Permitted Non-Audit Services” in the Proxy Statement.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Annual Report on Form 10-K:</w:t>
      </w:r>
    </w:p>
    <w:p>
      <w:pPr>
        <w:spacing w:after="0" w:line="18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financial statements filed as part of this report are listed under Item 8, “Financial Statements and Supplementary Data.”</w:t>
      </w:r>
    </w:p>
    <w:p>
      <w:pPr>
        <w:spacing w:after="0" w:line="18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schedules are required because either the required information is not present or is not present in amounts sufficient to require submission of the schedule, or because the information required is included in the consolidated financial statements or notes thereto.</w:t>
      </w:r>
    </w:p>
    <w:p>
      <w:pPr>
        <w:spacing w:after="0" w:line="13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No.DESCRIPTION</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6"/>
        </w:trPr>
        <w:tc>
          <w:tcPr>
            <w:tcW w:w="7360" w:type="dxa"/>
            <w:vAlign w:val="bottom"/>
            <w:gridSpan w:val="4"/>
            <w:vMerge w:val="continue"/>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4.2</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4.3</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10.1(a)</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10.1(b)</w:t>
      </w:r>
    </w:p>
    <w:p>
      <w:pPr>
        <w:spacing w:after="0" w:line="200" w:lineRule="exact"/>
        <w:rPr>
          <w:sz w:val="20"/>
          <w:szCs w:val="20"/>
          <w:color w:val="auto"/>
        </w:rPr>
      </w:pPr>
    </w:p>
    <w:p>
      <w:pPr>
        <w:spacing w:after="0" w:line="2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10.1(c)</w:t>
      </w: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10.4*</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80"/>
        <w:spacing w:after="0" w:line="237"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Amended and Restated Certificate of Incorporation of First Watch Restaurant</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Group, Inc.</w:t>
        </w:r>
      </w:hyperlink>
    </w:p>
    <w:p>
      <w:pPr>
        <w:spacing w:after="0" w:line="10" w:lineRule="exact"/>
        <w:rPr>
          <w:sz w:val="20"/>
          <w:szCs w:val="20"/>
          <w:color w:val="auto"/>
        </w:rPr>
      </w:pPr>
    </w:p>
    <w:p>
      <w:pPr>
        <w:ind w:right="10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Certificate of Amendment of the Amended and Restated Certificate of Incorporation of First Watch Restaurant Group, Inc.</w:t>
      </w:r>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Amended and Restated Bylaws of First Watch Restaurant Group,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Form of Certificate of Common Stock</w:t>
        </w:r>
      </w:hyperlink>
    </w:p>
    <w:p>
      <w:pPr>
        <w:spacing w:after="0" w:line="23" w:lineRule="exact"/>
        <w:rPr>
          <w:sz w:val="20"/>
          <w:szCs w:val="20"/>
          <w:color w:val="auto"/>
        </w:rPr>
      </w:pPr>
    </w:p>
    <w:p>
      <w:pPr>
        <w:ind w:right="200"/>
        <w:spacing w:after="0" w:line="234"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Registration Rights Agreement by and among First Watch Restaurant Group, Inc.</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and the other parties thereto, dated as of October 1, 2021</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Description of First Watch Restaurant Group, Inc. Securities</w:t>
        </w:r>
      </w:hyperlink>
    </w:p>
    <w:p>
      <w:pPr>
        <w:spacing w:after="0" w:line="27" w:lineRule="exact"/>
        <w:rPr>
          <w:sz w:val="20"/>
          <w:szCs w:val="20"/>
          <w:color w:val="auto"/>
        </w:rPr>
      </w:pPr>
    </w:p>
    <w:p>
      <w:pPr>
        <w:jc w:val="both"/>
        <w:ind w:right="500"/>
        <w:spacing w:after="0" w:line="224"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Credit Agreement, dated as of October 6, 2021, by and among FWR Holding</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Corporation, AI Fresh Parent, Inc.,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therein and Bank of America, N.A., as administrative agent</w:t>
        </w:r>
      </w:hyperlink>
    </w:p>
    <w:p>
      <w:pPr>
        <w:spacing w:after="0" w:line="10"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Amendment No. 1 to Credit Agreement dated as of February 24, 2023, between</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FWR Holding Corporation as Borrower,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therein and Bank of America N.A., as administrative agent</w:t>
        </w:r>
      </w:hyperlink>
    </w:p>
    <w:p>
      <w:pPr>
        <w:spacing w:after="0" w:line="185" w:lineRule="exact"/>
        <w:rPr>
          <w:rFonts w:ascii="Times New Roman" w:cs="Times New Roman" w:eastAsia="Times New Roman" w:hAnsi="Times New Roman"/>
          <w:sz w:val="18"/>
          <w:szCs w:val="18"/>
          <w:u w:val="single" w:color="auto"/>
          <w:color w:val="0000FF"/>
        </w:rPr>
      </w:pPr>
    </w:p>
    <w:p>
      <w:pPr>
        <w:jc w:val="both"/>
        <w:ind w:right="80"/>
        <w:spacing w:after="0" w:line="22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Amendment No. 2 to Credit Agreement dated as of January 5, 2024, by and among</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FWR Holding Corporation as Borrower, the lenders party thereto, the other parties</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thereto and Bank of America N.A., as administrative agent</w:t>
        </w:r>
      </w:hyperlink>
    </w:p>
    <w:p>
      <w:pPr>
        <w:spacing w:after="0" w:line="9" w:lineRule="exact"/>
        <w:rPr>
          <w:rFonts w:ascii="Times New Roman" w:cs="Times New Roman" w:eastAsia="Times New Roman" w:hAnsi="Times New Roman"/>
          <w:sz w:val="18"/>
          <w:szCs w:val="18"/>
          <w:u w:val="single" w:color="auto"/>
          <w:color w:val="0000FF"/>
        </w:rPr>
      </w:pPr>
    </w:p>
    <w:p>
      <w:pPr>
        <w:ind w:right="600"/>
        <w:spacing w:after="0" w:line="237"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Employment Agreement, dated March 9, 2022, by and between First Watch</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Restaurants, Inc. and Christopher A. Tomasso</w:t>
        </w:r>
      </w:hyperlink>
    </w:p>
    <w:p>
      <w:pPr>
        <w:spacing w:after="0" w:line="10" w:lineRule="exact"/>
        <w:rPr>
          <w:sz w:val="20"/>
          <w:szCs w:val="20"/>
          <w:color w:val="auto"/>
        </w:rPr>
      </w:pPr>
    </w:p>
    <w:p>
      <w:pPr>
        <w:ind w:right="460"/>
        <w:spacing w:after="0" w:line="237"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Employment Agreement, dated August 21, 2017, by and between First Watch</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Restaurants, Inc. and Laura Sorensen</w:t>
        </w:r>
      </w:hyperlink>
    </w:p>
    <w:p>
      <w:pPr>
        <w:spacing w:after="0" w:line="10"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Letter Agreement, dated February 1, 2021, by and between First Watch Restaurants,</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 and Kenneth L. Pendery, Jr.</w:t>
        </w:r>
      </w:hyperlink>
    </w:p>
    <w:p>
      <w:pPr>
        <w:spacing w:after="0" w:line="28"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Letter Agreement, dated July 12, 2018, by and between First Watch Restaurants,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Inc. and Mel Hope</w:t>
        </w:r>
      </w:hyperlink>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6, 2021 Form 8-K, Exhibit 3.1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29" w:lineRule="exact"/>
        <w:rPr>
          <w:sz w:val="20"/>
          <w:szCs w:val="20"/>
          <w:color w:val="auto"/>
        </w:rPr>
      </w:pPr>
    </w:p>
    <w:p>
      <w:pPr>
        <w:ind w:right="1040"/>
        <w:spacing w:after="0" w:line="314" w:lineRule="auto"/>
        <w:rPr>
          <w:sz w:val="20"/>
          <w:szCs w:val="20"/>
          <w:color w:val="auto"/>
        </w:rPr>
      </w:pPr>
      <w:r>
        <w:rPr>
          <w:rFonts w:ascii="Times New Roman" w:cs="Times New Roman" w:eastAsia="Times New Roman" w:hAnsi="Times New Roman"/>
          <w:sz w:val="17"/>
          <w:szCs w:val="17"/>
          <w:color w:val="auto"/>
        </w:rPr>
        <w:t>October 6, 2021 Form 8-K, Exhibit 3.2 September 7, 2021 Form S-1, Exhibit 4.1</w:t>
      </w:r>
    </w:p>
    <w:p>
      <w:pPr>
        <w:spacing w:after="0" w:line="42" w:lineRule="exact"/>
        <w:rPr>
          <w:sz w:val="20"/>
          <w:szCs w:val="20"/>
          <w:color w:val="auto"/>
        </w:rPr>
      </w:pPr>
    </w:p>
    <w:p>
      <w:pPr>
        <w:ind w:right="1080"/>
        <w:spacing w:after="0" w:line="430" w:lineRule="auto"/>
        <w:rPr>
          <w:sz w:val="20"/>
          <w:szCs w:val="20"/>
          <w:color w:val="auto"/>
        </w:rPr>
      </w:pPr>
      <w:r>
        <w:rPr>
          <w:rFonts w:ascii="Times New Roman" w:cs="Times New Roman" w:eastAsia="Times New Roman" w:hAnsi="Times New Roman"/>
          <w:sz w:val="17"/>
          <w:szCs w:val="17"/>
          <w:color w:val="auto"/>
        </w:rPr>
        <w:t>March 23, 2022, Form 10-K, Exhibit 4.2 March 23, 2022, Form 10-K, Exhibit 4.3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6, 2021, Form 8-K, Exhibit 10.1</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2023, Form 10-K, Exhibit 10.2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8, 2024, Form 8-K, Exhibit 10.1</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11, 2022, Form 8-K, Exhibit 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23, 2022, Form 10-K, Exhibit 10.7</w:t>
      </w:r>
    </w:p>
    <w:p>
      <w:pPr>
        <w:spacing w:after="0" w:line="322" w:lineRule="exact"/>
        <w:rPr>
          <w:sz w:val="20"/>
          <w:szCs w:val="20"/>
          <w:color w:val="auto"/>
        </w:rPr>
      </w:pPr>
    </w:p>
    <w:p>
      <w:pPr>
        <w:sectPr>
          <w:pgSz w:w="11900" w:h="16838" w:orient="portrait"/>
          <w:cols w:equalWidth="0" w:num="3">
            <w:col w:w="800" w:space="380"/>
            <w:col w:w="6060" w:space="140"/>
            <w:col w:w="3860"/>
          </w:cols>
          <w:pgMar w:left="320" w:top="121"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10.6*</w:t>
            </w:r>
          </w:p>
        </w:tc>
        <w:tc>
          <w:tcPr>
            <w:tcW w:w="6020" w:type="dxa"/>
            <w:vAlign w:val="bottom"/>
            <w:gridSpan w:val="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Watch Restaurant Group, Inc. 2017 Omnibus Equity Incentive Plan (formerly</w:t>
              </w:r>
            </w:hyperlink>
          </w:p>
        </w:tc>
        <w:tc>
          <w:tcPr>
            <w:tcW w:w="0" w:type="dxa"/>
            <w:vAlign w:val="bottom"/>
          </w:tcPr>
          <w:p>
            <w:pPr>
              <w:spacing w:after="0"/>
              <w:rPr>
                <w:sz w:val="1"/>
                <w:szCs w:val="1"/>
                <w:color w:val="auto"/>
              </w:rPr>
            </w:pPr>
          </w:p>
        </w:tc>
      </w:tr>
      <w:tr>
        <w:trPr>
          <w:trHeight w:val="128"/>
        </w:trPr>
        <w:tc>
          <w:tcPr>
            <w:tcW w:w="880" w:type="dxa"/>
            <w:vAlign w:val="bottom"/>
            <w:vMerge w:val="continue"/>
          </w:tcPr>
          <w:p>
            <w:pPr>
              <w:spacing w:after="0"/>
              <w:rPr>
                <w:sz w:val="11"/>
                <w:szCs w:val="11"/>
                <w:color w:val="auto"/>
              </w:rPr>
            </w:pPr>
          </w:p>
        </w:tc>
        <w:tc>
          <w:tcPr>
            <w:tcW w:w="5820" w:type="dxa"/>
            <w:vAlign w:val="bottom"/>
            <w:tcBorders>
              <w:top w:val="single" w:sz="8" w:color="0000FF"/>
            </w:tcBorders>
            <w:gridSpan w:val="7"/>
            <w:vMerge w:val="restart"/>
          </w:tcPr>
          <w:p>
            <w:pPr>
              <w:spacing w:after="0" w:line="182"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known as the AI Fresh Super Holdco, Inc. 2017 Omnibus Equity Incentive Plan)</w:t>
              </w:r>
            </w:hyperlink>
          </w:p>
        </w:tc>
        <w:tc>
          <w:tcPr>
            <w:tcW w:w="140" w:type="dxa"/>
            <w:vAlign w:val="bottom"/>
            <w:tcBorders>
              <w:top w:val="single" w:sz="8" w:color="0000FF"/>
            </w:tcBorders>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880" w:type="dxa"/>
            <w:vAlign w:val="bottom"/>
          </w:tcPr>
          <w:p>
            <w:pPr>
              <w:spacing w:after="0"/>
              <w:rPr>
                <w:sz w:val="4"/>
                <w:szCs w:val="4"/>
                <w:color w:val="auto"/>
              </w:rPr>
            </w:pPr>
          </w:p>
        </w:tc>
        <w:tc>
          <w:tcPr>
            <w:tcW w:w="5820" w:type="dxa"/>
            <w:vAlign w:val="bottom"/>
            <w:tcBorders>
              <w:bottom w:val="single" w:sz="8" w:color="0000FF"/>
            </w:tcBorders>
            <w:gridSpan w:val="7"/>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10.7*</w:t>
            </w:r>
          </w:p>
        </w:tc>
        <w:tc>
          <w:tcPr>
            <w:tcW w:w="6020" w:type="dxa"/>
            <w:vAlign w:val="bottom"/>
            <w:gridSpan w:val="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Watch Restaurant Group, Inc. 2021 Equity Incentive Plan</w:t>
              </w:r>
            </w:hyperlink>
          </w:p>
        </w:tc>
        <w:tc>
          <w:tcPr>
            <w:tcW w:w="0" w:type="dxa"/>
            <w:vAlign w:val="bottom"/>
          </w:tcPr>
          <w:p>
            <w:pPr>
              <w:spacing w:after="0"/>
              <w:rPr>
                <w:sz w:val="1"/>
                <w:szCs w:val="1"/>
                <w:color w:val="auto"/>
              </w:rPr>
            </w:pPr>
          </w:p>
        </w:tc>
      </w:tr>
      <w:tr>
        <w:trPr>
          <w:trHeight w:val="236"/>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10.8*</w:t>
            </w:r>
          </w:p>
        </w:tc>
        <w:tc>
          <w:tcPr>
            <w:tcW w:w="10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2022</w:t>
              </w:r>
            </w:hyperlink>
          </w:p>
        </w:tc>
        <w:tc>
          <w:tcPr>
            <w:tcW w:w="1820" w:type="dxa"/>
            <w:vAlign w:val="bottom"/>
            <w:tcBorders>
              <w:top w:val="single" w:sz="8" w:color="0000FF"/>
              <w:bottom w:val="single" w:sz="8" w:color="0000FF"/>
            </w:tcBorders>
          </w:tcPr>
          <w:p>
            <w:pPr>
              <w:ind w:left="20"/>
              <w:spacing w:after="0"/>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Stock Option Agreement</w:t>
              </w:r>
            </w:hyperlink>
          </w:p>
        </w:tc>
        <w:tc>
          <w:tcPr>
            <w:tcW w:w="1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5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10.9*</w:t>
            </w:r>
          </w:p>
        </w:tc>
        <w:tc>
          <w:tcPr>
            <w:tcW w:w="102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2023</w:t>
              </w:r>
            </w:hyperlink>
          </w:p>
        </w:tc>
        <w:tc>
          <w:tcPr>
            <w:tcW w:w="2940" w:type="dxa"/>
            <w:vAlign w:val="bottom"/>
            <w:tcBorders>
              <w:bottom w:val="single" w:sz="8" w:color="0000FF"/>
            </w:tcBorders>
            <w:gridSpan w:val="2"/>
          </w:tcPr>
          <w:p>
            <w:pPr>
              <w:ind w:left="20"/>
              <w:spacing w:after="0"/>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Restricted Stock Unit Award Agreement</w:t>
              </w:r>
            </w:hyperlink>
          </w:p>
        </w:tc>
        <w:tc>
          <w:tcPr>
            <w:tcW w:w="20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10.10*</w:t>
            </w:r>
          </w:p>
        </w:tc>
        <w:tc>
          <w:tcPr>
            <w:tcW w:w="102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2024</w:t>
              </w:r>
            </w:hyperlink>
          </w:p>
        </w:tc>
        <w:tc>
          <w:tcPr>
            <w:tcW w:w="2940" w:type="dxa"/>
            <w:vAlign w:val="bottom"/>
            <w:tcBorders>
              <w:bottom w:val="single" w:sz="8" w:color="0000FF"/>
            </w:tcBorders>
            <w:gridSpan w:val="2"/>
          </w:tcPr>
          <w:p>
            <w:pPr>
              <w:ind w:left="20"/>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Restricted Stock Unit Award Agreement</w:t>
              </w:r>
            </w:hyperlink>
          </w:p>
        </w:tc>
        <w:tc>
          <w:tcPr>
            <w:tcW w:w="20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10.11*</w:t>
            </w:r>
          </w:p>
        </w:tc>
        <w:tc>
          <w:tcPr>
            <w:tcW w:w="102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2024</w:t>
              </w:r>
            </w:hyperlink>
          </w:p>
        </w:tc>
        <w:tc>
          <w:tcPr>
            <w:tcW w:w="5000" w:type="dxa"/>
            <w:vAlign w:val="bottom"/>
            <w:tcBorders>
              <w:bottom w:val="single" w:sz="8" w:color="0000FF"/>
            </w:tcBorders>
            <w:gridSpan w:val="8"/>
          </w:tcPr>
          <w:p>
            <w:pPr>
              <w:ind w:left="20"/>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Restricted Stock Unit Award Agreement (Special Recognition Grant)</w:t>
              </w:r>
            </w:hyperlink>
          </w:p>
        </w:tc>
        <w:tc>
          <w:tcPr>
            <w:tcW w:w="0" w:type="dxa"/>
            <w:vAlign w:val="bottom"/>
          </w:tcPr>
          <w:p>
            <w:pPr>
              <w:spacing w:after="0"/>
              <w:rPr>
                <w:sz w:val="1"/>
                <w:szCs w:val="1"/>
                <w:color w:val="auto"/>
              </w:rPr>
            </w:pPr>
          </w:p>
        </w:tc>
      </w:tr>
      <w:tr>
        <w:trPr>
          <w:trHeight w:val="223"/>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6"/>
              </w:rPr>
              <w:t>10.12*</w:t>
            </w:r>
          </w:p>
        </w:tc>
        <w:tc>
          <w:tcPr>
            <w:tcW w:w="6020" w:type="dxa"/>
            <w:vAlign w:val="bottom"/>
            <w:gridSpan w:val="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Director and Officer Indemnification Agreement</w:t>
              </w:r>
            </w:hyperlink>
          </w:p>
        </w:tc>
        <w:tc>
          <w:tcPr>
            <w:tcW w:w="0" w:type="dxa"/>
            <w:vAlign w:val="bottom"/>
          </w:tcPr>
          <w:p>
            <w:pPr>
              <w:spacing w:after="0"/>
              <w:rPr>
                <w:sz w:val="1"/>
                <w:szCs w:val="1"/>
                <w:color w:val="auto"/>
              </w:rPr>
            </w:pPr>
          </w:p>
        </w:tc>
      </w:tr>
      <w:tr>
        <w:trPr>
          <w:trHeight w:val="223"/>
        </w:trPr>
        <w:tc>
          <w:tcPr>
            <w:tcW w:w="8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10.13</w:t>
            </w:r>
          </w:p>
        </w:tc>
        <w:tc>
          <w:tcPr>
            <w:tcW w:w="414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Restricted Unit Award Agreement for Directors</w:t>
              </w:r>
            </w:hyperlink>
          </w:p>
        </w:tc>
        <w:tc>
          <w:tcPr>
            <w:tcW w:w="18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80" w:type="dxa"/>
            <w:vAlign w:val="bottom"/>
          </w:tcPr>
          <w:p>
            <w:pPr>
              <w:spacing w:after="0"/>
              <w:rPr>
                <w:sz w:val="11"/>
                <w:szCs w:val="11"/>
                <w:color w:val="auto"/>
              </w:rPr>
            </w:pPr>
          </w:p>
        </w:tc>
        <w:tc>
          <w:tcPr>
            <w:tcW w:w="6020" w:type="dxa"/>
            <w:vAlign w:val="bottom"/>
            <w:gridSpan w:val="9"/>
          </w:tcPr>
          <w:p>
            <w:pPr>
              <w:spacing w:after="0" w:line="131" w:lineRule="exact"/>
              <w:rPr>
                <w:rFonts w:ascii="Times New Roman" w:cs="Times New Roman" w:eastAsia="Times New Roman" w:hAnsi="Times New Roman"/>
                <w:sz w:val="15"/>
                <w:szCs w:val="15"/>
                <w:color w:val="0000FF"/>
              </w:rPr>
            </w:pPr>
            <w:hyperlink r:id="rId147">
              <w:r>
                <w:rPr>
                  <w:rFonts w:ascii="Times New Roman" w:cs="Times New Roman" w:eastAsia="Times New Roman" w:hAnsi="Times New Roman"/>
                  <w:sz w:val="15"/>
                  <w:szCs w:val="15"/>
                  <w:color w:val="0000FF"/>
                </w:rPr>
                <w:t>Asset Purchase Agreement dated as of January 5, 2024, by and among VIM</w:t>
              </w:r>
            </w:hyperlink>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79"/>
        </w:trPr>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97"/>
              </w:rPr>
              <w:t>10.14***</w:t>
            </w:r>
          </w:p>
        </w:tc>
        <w:tc>
          <w:tcPr>
            <w:tcW w:w="5100" w:type="dxa"/>
            <w:vAlign w:val="bottom"/>
            <w:tcBorders>
              <w:bottom w:val="single" w:sz="8" w:color="0000FF"/>
            </w:tcBorders>
          </w:tcPr>
          <w:p>
            <w:pPr>
              <w:spacing w:after="0"/>
              <w:rPr>
                <w:sz w:val="6"/>
                <w:szCs w:val="6"/>
                <w:color w:val="auto"/>
              </w:rPr>
            </w:pPr>
          </w:p>
        </w:tc>
        <w:tc>
          <w:tcPr>
            <w:tcW w:w="280" w:type="dxa"/>
            <w:vAlign w:val="bottom"/>
            <w:tcBorders>
              <w:bottom w:val="single" w:sz="8" w:color="0000FF"/>
            </w:tcBorders>
          </w:tcPr>
          <w:p>
            <w:pPr>
              <w:spacing w:after="0"/>
              <w:rPr>
                <w:sz w:val="6"/>
                <w:szCs w:val="6"/>
                <w:color w:val="auto"/>
              </w:rPr>
            </w:pPr>
          </w:p>
        </w:tc>
        <w:tc>
          <w:tcPr>
            <w:tcW w:w="80" w:type="dxa"/>
            <w:vAlign w:val="bottom"/>
            <w:tcBorders>
              <w:bottom w:val="single" w:sz="8" w:color="0000FF"/>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980" w:type="dxa"/>
            <w:vAlign w:val="bottom"/>
            <w:vMerge w:val="continue"/>
          </w:tcPr>
          <w:p>
            <w:pPr>
              <w:spacing w:after="0"/>
              <w:rPr>
                <w:sz w:val="11"/>
                <w:szCs w:val="11"/>
                <w:color w:val="auto"/>
              </w:rPr>
            </w:pPr>
          </w:p>
        </w:tc>
        <w:tc>
          <w:tcPr>
            <w:tcW w:w="5380" w:type="dxa"/>
            <w:vAlign w:val="bottom"/>
            <w:gridSpan w:val="2"/>
            <w:vMerge w:val="restart"/>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Holdings, LLC, its owners and affiliates, and First Watch Restaurants, Inc.</w:t>
              </w:r>
            </w:hyperlink>
          </w:p>
        </w:tc>
        <w:tc>
          <w:tcPr>
            <w:tcW w:w="3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80" w:type="dxa"/>
            <w:vAlign w:val="bottom"/>
          </w:tcPr>
          <w:p>
            <w:pPr>
              <w:spacing w:after="0" w:line="20" w:lineRule="exact"/>
              <w:rPr>
                <w:sz w:val="1"/>
                <w:szCs w:val="1"/>
                <w:color w:val="auto"/>
              </w:rPr>
            </w:pPr>
          </w:p>
        </w:tc>
        <w:tc>
          <w:tcPr>
            <w:tcW w:w="5380" w:type="dxa"/>
            <w:vAlign w:val="bottom"/>
            <w:tcBorders>
              <w:bottom w:val="single" w:sz="8" w:color="0000FF"/>
            </w:tcBorders>
            <w:gridSpan w:val="2"/>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97"/>
              </w:rPr>
              <w:t>10.15***</w:t>
            </w:r>
          </w:p>
        </w:tc>
        <w:tc>
          <w:tcPr>
            <w:tcW w:w="57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Asset Purchase Agreement dated as of November 8, 2024, by and among Good</w:t>
              </w:r>
            </w:hyperlink>
          </w:p>
        </w:tc>
        <w:tc>
          <w:tcPr>
            <w:tcW w:w="0" w:type="dxa"/>
            <w:vAlign w:val="bottom"/>
          </w:tcPr>
          <w:p>
            <w:pPr>
              <w:spacing w:after="0"/>
              <w:rPr>
                <w:sz w:val="1"/>
                <w:szCs w:val="1"/>
                <w:color w:val="auto"/>
              </w:rPr>
            </w:pPr>
          </w:p>
        </w:tc>
      </w:tr>
      <w:tr>
        <w:trPr>
          <w:trHeight w:val="115"/>
        </w:trPr>
        <w:tc>
          <w:tcPr>
            <w:tcW w:w="980" w:type="dxa"/>
            <w:vAlign w:val="bottom"/>
            <w:vMerge w:val="continue"/>
          </w:tcPr>
          <w:p>
            <w:pPr>
              <w:spacing w:after="0"/>
              <w:rPr>
                <w:sz w:val="10"/>
                <w:szCs w:val="10"/>
                <w:color w:val="auto"/>
              </w:rPr>
            </w:pPr>
          </w:p>
        </w:tc>
        <w:tc>
          <w:tcPr>
            <w:tcW w:w="5100" w:type="dxa"/>
            <w:vAlign w:val="bottom"/>
            <w:vMerge w:val="restart"/>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Morning Carolinas, LLC, its owners, and First Watch Restaurants, Inc.</w:t>
              </w:r>
            </w:hyperlink>
          </w:p>
        </w:tc>
        <w:tc>
          <w:tcPr>
            <w:tcW w:w="6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80" w:type="dxa"/>
            <w:vAlign w:val="bottom"/>
          </w:tcPr>
          <w:p>
            <w:pPr>
              <w:spacing w:after="0"/>
              <w:rPr>
                <w:sz w:val="3"/>
                <w:szCs w:val="3"/>
                <w:color w:val="auto"/>
              </w:rPr>
            </w:pPr>
          </w:p>
        </w:tc>
        <w:tc>
          <w:tcPr>
            <w:tcW w:w="5100" w:type="dxa"/>
            <w:vAlign w:val="bottom"/>
            <w:tcBorders>
              <w:bottom w:val="single" w:sz="8" w:color="0000FF"/>
            </w:tcBorders>
            <w:vMerge w:val="continue"/>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7, 2021, Form S-1, Exhibit 10.3</w:t>
      </w:r>
    </w:p>
    <w:p>
      <w:pPr>
        <w:spacing w:after="0" w:line="156" w:lineRule="exact"/>
        <w:rPr>
          <w:sz w:val="20"/>
          <w:szCs w:val="20"/>
          <w:color w:val="auto"/>
        </w:rPr>
      </w:pPr>
    </w:p>
    <w:p>
      <w:pPr>
        <w:ind w:right="880"/>
        <w:spacing w:after="0" w:line="309" w:lineRule="auto"/>
        <w:rPr>
          <w:sz w:val="20"/>
          <w:szCs w:val="20"/>
          <w:color w:val="auto"/>
        </w:rPr>
      </w:pPr>
      <w:r>
        <w:rPr>
          <w:rFonts w:ascii="Times New Roman" w:cs="Times New Roman" w:eastAsia="Times New Roman" w:hAnsi="Times New Roman"/>
          <w:sz w:val="17"/>
          <w:szCs w:val="17"/>
          <w:color w:val="auto"/>
        </w:rPr>
        <w:t>March 23, 2022, Form 10-K, Exhibit 10.9 March 23, 2022, Form 10-K, Exhibit 10.10 March 7, 2023, Form 10-K, Exhibit 10.11 March 5, 2024, Form 10-K, Exhibit 10.12 March 5, 2024, Form 10-K, Exhibit 10.13 September 7, 2021, Form S-1, Exhibit 10.7 March 7, 2023, Form 10-K, Exhibit 10.13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8, 2024, Form 8-K, Exhibit 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12, 2024, Form 8-K, Exhibit 2.1</w:t>
      </w:r>
    </w:p>
    <w:p>
      <w:pPr>
        <w:spacing w:after="0" w:line="119" w:lineRule="exact"/>
        <w:rPr>
          <w:sz w:val="20"/>
          <w:szCs w:val="20"/>
          <w:color w:val="auto"/>
        </w:rPr>
      </w:pPr>
    </w:p>
    <w:p>
      <w:pPr>
        <w:sectPr>
          <w:pgSz w:w="11900" w:h="16838" w:orient="portrait"/>
          <w:cols w:equalWidth="0" w:num="2">
            <w:col w:w="7200" w:space="180"/>
            <w:col w:w="3840"/>
          </w:cols>
          <w:pgMar w:left="320" w:top="121" w:right="35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2"/>
              </w:rPr>
              <w:t>10.16*</w:t>
            </w:r>
          </w:p>
        </w:tc>
        <w:tc>
          <w:tcPr>
            <w:tcW w:w="1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Executive Severance Plan</w:t>
            </w:r>
          </w:p>
        </w:tc>
        <w:tc>
          <w:tcPr>
            <w:tcW w:w="4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19.1</w:t>
            </w:r>
          </w:p>
        </w:tc>
        <w:tc>
          <w:tcPr>
            <w:tcW w:w="3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Insider Trading and Regulation FD Policy</w:t>
            </w:r>
          </w:p>
        </w:tc>
        <w:tc>
          <w:tcPr>
            <w:tcW w:w="30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21.1</w:t>
            </w:r>
          </w:p>
        </w:tc>
        <w:tc>
          <w:tcPr>
            <w:tcW w:w="13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List of subsidiaries</w:t>
            </w:r>
          </w:p>
        </w:tc>
        <w:tc>
          <w:tcPr>
            <w:tcW w:w="46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23.1</w:t>
            </w: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31.1</w:t>
            </w:r>
          </w:p>
        </w:tc>
        <w:tc>
          <w:tcPr>
            <w:tcW w:w="5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w:t>
            </w: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6060" w:type="dxa"/>
            <w:vAlign w:val="bottom"/>
            <w:gridSpan w:val="12"/>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606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31.2</w:t>
            </w:r>
          </w:p>
        </w:tc>
        <w:tc>
          <w:tcPr>
            <w:tcW w:w="6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p>
        </w:tc>
        <w:tc>
          <w:tcPr>
            <w:tcW w:w="0" w:type="dxa"/>
            <w:vAlign w:val="bottom"/>
          </w:tcPr>
          <w:p>
            <w:pPr>
              <w:spacing w:after="0"/>
              <w:rPr>
                <w:sz w:val="1"/>
                <w:szCs w:val="1"/>
                <w:color w:val="auto"/>
              </w:rPr>
            </w:pPr>
          </w:p>
        </w:tc>
      </w:tr>
      <w:tr>
        <w:trPr>
          <w:trHeight w:val="115"/>
        </w:trPr>
        <w:tc>
          <w:tcPr>
            <w:tcW w:w="880" w:type="dxa"/>
            <w:vAlign w:val="bottom"/>
            <w:vMerge w:val="continue"/>
          </w:tcPr>
          <w:p>
            <w:pPr>
              <w:spacing w:after="0"/>
              <w:rPr>
                <w:sz w:val="10"/>
                <w:szCs w:val="10"/>
                <w:color w:val="auto"/>
              </w:rPr>
            </w:pPr>
          </w:p>
        </w:tc>
        <w:tc>
          <w:tcPr>
            <w:tcW w:w="1360" w:type="dxa"/>
            <w:vAlign w:val="bottom"/>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4700" w:type="dxa"/>
            <w:vAlign w:val="bottom"/>
            <w:gridSpan w:val="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880" w:type="dxa"/>
            <w:vAlign w:val="bottom"/>
          </w:tcPr>
          <w:p>
            <w:pPr>
              <w:spacing w:after="0"/>
              <w:rPr>
                <w:sz w:val="3"/>
                <w:szCs w:val="3"/>
                <w:color w:val="auto"/>
              </w:rPr>
            </w:pPr>
          </w:p>
        </w:tc>
        <w:tc>
          <w:tcPr>
            <w:tcW w:w="1360" w:type="dxa"/>
            <w:vAlign w:val="bottom"/>
            <w:tcBorders>
              <w:bottom w:val="single" w:sz="8" w:color="0000FF"/>
            </w:tcBorders>
            <w:gridSpan w:val="3"/>
            <w:vMerge w:val="continue"/>
          </w:tcPr>
          <w:p>
            <w:pPr>
              <w:spacing w:after="0"/>
              <w:rPr>
                <w:sz w:val="3"/>
                <w:szCs w:val="3"/>
                <w:color w:val="auto"/>
              </w:rPr>
            </w:pPr>
          </w:p>
        </w:tc>
        <w:tc>
          <w:tcPr>
            <w:tcW w:w="470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32.1</w:t>
            </w: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0" w:type="dxa"/>
            <w:vAlign w:val="bottom"/>
          </w:tcPr>
          <w:p>
            <w:pPr>
              <w:spacing w:after="0"/>
              <w:rPr>
                <w:sz w:val="1"/>
                <w:szCs w:val="1"/>
                <w:color w:val="auto"/>
              </w:rPr>
            </w:pPr>
          </w:p>
        </w:tc>
      </w:tr>
      <w:tr>
        <w:trPr>
          <w:trHeight w:val="142"/>
        </w:trPr>
        <w:tc>
          <w:tcPr>
            <w:tcW w:w="880" w:type="dxa"/>
            <w:vAlign w:val="bottom"/>
            <w:vMerge w:val="continue"/>
          </w:tcPr>
          <w:p>
            <w:pPr>
              <w:spacing w:after="0"/>
              <w:rPr>
                <w:sz w:val="12"/>
                <w:szCs w:val="12"/>
                <w:color w:val="auto"/>
              </w:rPr>
            </w:pPr>
          </w:p>
        </w:tc>
        <w:tc>
          <w:tcPr>
            <w:tcW w:w="598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u w:val="single" w:color="auto"/>
                <w:color w:val="0000FF"/>
              </w:rPr>
              <w:t>U.S.C. Section 1350, as adopted pursuant to Section 906 of the Sarbanes-Oxley Act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60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of 2002</w:t>
            </w:r>
          </w:p>
        </w:tc>
        <w:tc>
          <w:tcPr>
            <w:tcW w:w="200" w:type="dxa"/>
            <w:vAlign w:val="bottom"/>
            <w:tcBorders>
              <w:bottom w:val="single" w:sz="8" w:color="0000FF"/>
            </w:tcBorders>
          </w:tcPr>
          <w:p>
            <w:pPr>
              <w:jc w:val="right"/>
              <w:spacing w:after="0" w:line="48" w:lineRule="exact"/>
              <w:rPr>
                <w:sz w:val="20"/>
                <w:szCs w:val="20"/>
                <w:color w:val="auto"/>
              </w:rPr>
            </w:pPr>
            <w:r>
              <w:rPr>
                <w:rFonts w:ascii="Times New Roman" w:cs="Times New Roman" w:eastAsia="Times New Roman" w:hAnsi="Times New Roman"/>
                <w:sz w:val="5"/>
                <w:szCs w:val="5"/>
                <w:color w:val="0000FF"/>
              </w:rPr>
              <w:t>(**)</w:t>
            </w:r>
          </w:p>
        </w:tc>
        <w:tc>
          <w:tcPr>
            <w:tcW w:w="5260" w:type="dxa"/>
            <w:vAlign w:val="bottom"/>
            <w:gridSpan w:val="10"/>
            <w:vMerge w:val="restart"/>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80" w:type="dxa"/>
            <w:vAlign w:val="bottom"/>
          </w:tcPr>
          <w:p>
            <w:pPr>
              <w:spacing w:after="0"/>
              <w:rPr>
                <w:sz w:val="10"/>
                <w:szCs w:val="10"/>
                <w:color w:val="auto"/>
              </w:rPr>
            </w:pPr>
          </w:p>
        </w:tc>
        <w:tc>
          <w:tcPr>
            <w:tcW w:w="600" w:type="dxa"/>
            <w:vAlign w:val="bottom"/>
            <w:tcBorders>
              <w:bottom w:val="single" w:sz="8" w:color="0000FF"/>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52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97.1</w:t>
            </w:r>
          </w:p>
        </w:tc>
        <w:tc>
          <w:tcPr>
            <w:tcW w:w="35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Incentive-Based Compensation Recovery Policy</w:t>
              </w:r>
            </w:hyperlink>
          </w:p>
        </w:tc>
        <w:tc>
          <w:tcPr>
            <w:tcW w:w="25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Annual Report</w:t>
      </w:r>
    </w:p>
    <w:p>
      <w:pPr>
        <w:spacing w:after="0" w:line="16" w:lineRule="exact"/>
        <w:rPr>
          <w:sz w:val="20"/>
          <w:szCs w:val="20"/>
          <w:color w:val="auto"/>
        </w:rPr>
      </w:pPr>
    </w:p>
    <w:p>
      <w:pPr>
        <w:jc w:val="both"/>
        <w:ind w:left="1180" w:right="360" w:hanging="774"/>
        <w:spacing w:after="0" w:line="255" w:lineRule="auto"/>
        <w:tabs>
          <w:tab w:leader="none" w:pos="11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Form 10-K for the fiscal year ended December 29, 2024, filed on March 11, 2025, formatted in Inline Extensible Business Reporting Language (“iXBRL”)</w:t>
      </w:r>
    </w:p>
    <w:p>
      <w:pPr>
        <w:spacing w:after="0" w:line="24" w:lineRule="exact"/>
        <w:rPr>
          <w:sz w:val="20"/>
          <w:szCs w:val="20"/>
          <w:color w:val="auto"/>
        </w:rPr>
      </w:pPr>
    </w:p>
    <w:p>
      <w:pPr>
        <w:ind w:left="1180" w:right="320" w:hanging="774"/>
        <w:spacing w:after="0"/>
        <w:tabs>
          <w:tab w:leader="none" w:pos="1180" w:val="left"/>
        </w:tabs>
        <w:numPr>
          <w:ilvl w:val="1"/>
          <w:numId w:val="3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Cover Page Interactive Date File (formatted as iXBRL and contained in Exhibit 101)</w:t>
      </w:r>
    </w:p>
    <w:p>
      <w:pPr>
        <w:spacing w:after="0" w:line="200" w:lineRule="exact"/>
        <w:rPr>
          <w:rFonts w:ascii="Times New Roman" w:cs="Times New Roman" w:eastAsia="Times New Roman" w:hAnsi="Times New Roman"/>
          <w:sz w:val="32"/>
          <w:szCs w:val="32"/>
          <w:color w:val="auto"/>
          <w:vertAlign w:val="subscript"/>
        </w:rPr>
      </w:pPr>
    </w:p>
    <w:p>
      <w:pPr>
        <w:spacing w:after="0" w:line="206" w:lineRule="exact"/>
        <w:rPr>
          <w:rFonts w:ascii="Times New Roman" w:cs="Times New Roman" w:eastAsia="Times New Roman" w:hAnsi="Times New Roman"/>
          <w:sz w:val="32"/>
          <w:szCs w:val="32"/>
          <w:color w:val="auto"/>
          <w:vertAlign w:val="subscript"/>
        </w:rPr>
      </w:pPr>
    </w:p>
    <w:p>
      <w:pPr>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431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5, 2024, Form 10-K, Exhibit 97.1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697" w:lineRule="exact"/>
        <w:rPr>
          <w:sz w:val="20"/>
          <w:szCs w:val="20"/>
          <w:color w:val="auto"/>
        </w:rPr>
      </w:pPr>
    </w:p>
    <w:p>
      <w:pPr>
        <w:sectPr>
          <w:pgSz w:w="11900" w:h="16838" w:orient="portrait"/>
          <w:cols w:equalWidth="0" w:num="2">
            <w:col w:w="7240" w:space="140"/>
            <w:col w:w="3840"/>
          </w:cols>
          <w:pgMar w:left="320" w:top="121" w:right="359" w:bottom="1440" w:gutter="0" w:footer="0" w:header="0"/>
          <w:type w:val="continuous"/>
        </w:sectPr>
      </w:pPr>
    </w:p>
    <w:p>
      <w:pPr>
        <w:jc w:val="both"/>
        <w:ind w:firstLine="8"/>
        <w:spacing w:after="0" w:line="252" w:lineRule="auto"/>
        <w:tabs>
          <w:tab w:leader="none" w:pos="21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schedules omitted pursuant to Item 601(b)(2) of Regulation S-K. The Company will furnish supplementally a copy of any omitted schedule to the SEC upon request. The Company may request confidential treatment pursuant to Rule 24b-2 of the Securities Exchange Act of 1934, as amended, for any schedules so furnished.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0" w:type="dxa"/>
            <w:vAlign w:val="bottom"/>
          </w:tcPr>
          <w:p>
            <w:pPr>
              <w:spacing w:after="0"/>
              <w:rPr>
                <w:sz w:val="20"/>
                <w:szCs w:val="20"/>
                <w:color w:val="auto"/>
              </w:rPr>
            </w:pPr>
          </w:p>
        </w:tc>
        <w:tc>
          <w:tcPr>
            <w:tcW w:w="42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80" w:type="dxa"/>
            <w:vAlign w:val="bottom"/>
          </w:tcPr>
          <w:p>
            <w:pPr>
              <w:spacing w:after="0"/>
              <w:rPr>
                <w:sz w:val="20"/>
                <w:szCs w:val="20"/>
                <w:color w:val="auto"/>
              </w:rPr>
            </w:pPr>
          </w:p>
        </w:tc>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00" w:type="dxa"/>
            <w:vAlign w:val="bottom"/>
          </w:tcPr>
          <w:p>
            <w:pPr>
              <w:spacing w:after="0"/>
              <w:rPr>
                <w:sz w:val="24"/>
                <w:szCs w:val="24"/>
                <w:color w:val="auto"/>
              </w:rPr>
            </w:pPr>
          </w:p>
        </w:tc>
      </w:tr>
      <w:tr>
        <w:trPr>
          <w:trHeight w:val="24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A. Tomasso</w:t>
            </w:r>
          </w:p>
        </w:tc>
        <w:tc>
          <w:tcPr>
            <w:tcW w:w="4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A. Tomasso</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1"/>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900" w:type="dxa"/>
            <w:vAlign w:val="bottom"/>
          </w:tcPr>
          <w:p>
            <w:pPr>
              <w:spacing w:after="0"/>
              <w:rPr>
                <w:sz w:val="24"/>
                <w:szCs w:val="24"/>
                <w:color w:val="auto"/>
              </w:rPr>
            </w:pPr>
          </w:p>
        </w:tc>
      </w:tr>
      <w:tr>
        <w:trPr>
          <w:trHeight w:val="24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Mel Hope</w:t>
            </w:r>
          </w:p>
        </w:tc>
        <w:tc>
          <w:tcPr>
            <w:tcW w:w="400" w:type="dxa"/>
            <w:vAlign w:val="bottom"/>
          </w:tcPr>
          <w:p>
            <w:pPr>
              <w:spacing w:after="0"/>
              <w:rPr>
                <w:sz w:val="21"/>
                <w:szCs w:val="21"/>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Mel Hope</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Ralph Alvarez</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Ralph Alvarez</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Irene Chang Britt</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Irene Chang Britt</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Fleisher</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Fleisher</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Tricia Glynn</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Tricia Glynn</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Jemley</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Jemley</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Kussell</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Kussell</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Stephanie Lilak</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Stephanie Lilak</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Paresky</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Paresky</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9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Jostein Solheim</w:t>
            </w:r>
          </w:p>
        </w:tc>
        <w:tc>
          <w:tcPr>
            <w:tcW w:w="4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11, 2025</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Jostein Solheim</w:t>
            </w:r>
          </w:p>
        </w:tc>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21" w:right="339" w:bottom="1440" w:gutter="0" w:footer="0" w:header="0"/>
        </w:sectPr>
      </w:pPr>
    </w:p>
    <w:bookmarkStart w:id="96" w:name="page97"/>
    <w:bookmarkEnd w:id="96"/>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 OF</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WATCH RESTAURANT GROUP, INC.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May 22, 2024</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18181A"/>
        </w:rPr>
        <w:t>First Watch Restaurant Group, Inc. (the “Corporation</w:t>
      </w:r>
      <w:r>
        <w:rPr>
          <w:rFonts w:ascii="Times New Roman" w:cs="Times New Roman" w:eastAsia="Times New Roman" w:hAnsi="Times New Roman"/>
          <w:sz w:val="20"/>
          <w:szCs w:val="20"/>
          <w:color w:val="343836"/>
        </w:rPr>
        <w:t>”</w:t>
      </w:r>
      <w:r>
        <w:rPr>
          <w:rFonts w:ascii="Times New Roman" w:cs="Times New Roman" w:eastAsia="Times New Roman" w:hAnsi="Times New Roman"/>
          <w:sz w:val="20"/>
          <w:szCs w:val="20"/>
          <w:color w:val="18181A"/>
        </w:rPr>
        <w:t>)</w:t>
      </w:r>
      <w:r>
        <w:rPr>
          <w:rFonts w:ascii="Times New Roman" w:cs="Times New Roman" w:eastAsia="Times New Roman" w:hAnsi="Times New Roman"/>
          <w:sz w:val="20"/>
          <w:szCs w:val="20"/>
          <w:color w:val="343836"/>
        </w:rPr>
        <w:t>,</w:t>
      </w:r>
      <w:r>
        <w:rPr>
          <w:rFonts w:ascii="Times New Roman" w:cs="Times New Roman" w:eastAsia="Times New Roman" w:hAnsi="Times New Roman"/>
          <w:sz w:val="20"/>
          <w:szCs w:val="20"/>
          <w:color w:val="18181A"/>
        </w:rPr>
        <w:t xml:space="preserve"> a corporation organized and existing under the General Corporation Law of the State of Delaware, as amended (the “DGCL”), does hereby certify as follows:</w:t>
      </w:r>
    </w:p>
    <w:p>
      <w:pPr>
        <w:spacing w:after="0" w:line="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18181A"/>
        </w:rPr>
        <w:t>FIRST:</w:t>
      </w:r>
      <w:r>
        <w:rPr>
          <w:sz w:val="20"/>
          <w:szCs w:val="20"/>
          <w:color w:val="auto"/>
        </w:rPr>
        <w:tab/>
      </w:r>
      <w:r>
        <w:rPr>
          <w:rFonts w:ascii="Times New Roman" w:cs="Times New Roman" w:eastAsia="Times New Roman" w:hAnsi="Times New Roman"/>
          <w:sz w:val="20"/>
          <w:szCs w:val="20"/>
          <w:color w:val="18181A"/>
        </w:rPr>
        <w:t>The name of the Corporation is First Watch Restaurant Group, Inc.</w:t>
      </w:r>
    </w:p>
    <w:p>
      <w:pPr>
        <w:spacing w:after="0" w:line="162" w:lineRule="exact"/>
        <w:rPr>
          <w:sz w:val="20"/>
          <w:szCs w:val="20"/>
          <w:color w:val="auto"/>
        </w:rPr>
      </w:pPr>
    </w:p>
    <w:p>
      <w:pPr>
        <w:jc w:val="both"/>
        <w:ind w:left="1180" w:hanging="1295"/>
        <w:spacing w:after="0" w:line="264" w:lineRule="auto"/>
        <w:tabs>
          <w:tab w:leader="none" w:pos="1160" w:val="left"/>
        </w:tabs>
        <w:rPr>
          <w:sz w:val="20"/>
          <w:szCs w:val="20"/>
          <w:color w:val="auto"/>
        </w:rPr>
      </w:pPr>
      <w:r>
        <w:rPr>
          <w:rFonts w:ascii="Times New Roman" w:cs="Times New Roman" w:eastAsia="Times New Roman" w:hAnsi="Times New Roman"/>
          <w:sz w:val="20"/>
          <w:szCs w:val="20"/>
          <w:b w:val="1"/>
          <w:bCs w:val="1"/>
          <w:color w:val="18181A"/>
        </w:rPr>
        <w:t>SECOND</w:t>
      </w:r>
      <w:r>
        <w:rPr>
          <w:rFonts w:ascii="Times New Roman" w:cs="Times New Roman" w:eastAsia="Times New Roman" w:hAnsi="Times New Roman"/>
          <w:sz w:val="20"/>
          <w:szCs w:val="20"/>
          <w:b w:val="1"/>
          <w:bCs w:val="1"/>
          <w:color w:val="343836"/>
        </w:rPr>
        <w:t>:</w:t>
      </w:r>
      <w:r>
        <w:rPr>
          <w:sz w:val="20"/>
          <w:szCs w:val="20"/>
          <w:color w:val="auto"/>
        </w:rPr>
        <w:tab/>
      </w:r>
      <w:r>
        <w:rPr>
          <w:rFonts w:ascii="Times New Roman" w:cs="Times New Roman" w:eastAsia="Times New Roman" w:hAnsi="Times New Roman"/>
          <w:sz w:val="20"/>
          <w:szCs w:val="20"/>
          <w:color w:val="18181A"/>
        </w:rPr>
        <w:t>The Corporation filed its original Certificate of Incorporation with the Secretary of State of the State of Delaware on August 10, 2017 under the name AI Fresh Super Holdco, Inc., and the Corporation filed a Certificate of Amendment of Certificate of Incorporation to change its name to First Watch Restaurant Group, Inc. on December 20, 2019. The Corporation filed the Amended and Restated Certificate of Incorporation (the “Amended and Restated Certificate”) with the Secretary of State of the State of Delaware on October 5, 2021.</w:t>
      </w:r>
    </w:p>
    <w:p>
      <w:pPr>
        <w:spacing w:after="0" w:line="112" w:lineRule="exact"/>
        <w:rPr>
          <w:sz w:val="20"/>
          <w:szCs w:val="20"/>
          <w:color w:val="auto"/>
        </w:rPr>
      </w:pPr>
    </w:p>
    <w:p>
      <w:pPr>
        <w:jc w:val="both"/>
        <w:ind w:left="1020" w:hanging="1295"/>
        <w:spacing w:after="0" w:line="297" w:lineRule="auto"/>
        <w:tabs>
          <w:tab w:leader="none" w:pos="1000" w:val="left"/>
        </w:tabs>
        <w:rPr>
          <w:sz w:val="20"/>
          <w:szCs w:val="20"/>
          <w:color w:val="auto"/>
        </w:rPr>
      </w:pPr>
      <w:r>
        <w:rPr>
          <w:rFonts w:ascii="Times New Roman" w:cs="Times New Roman" w:eastAsia="Times New Roman" w:hAnsi="Times New Roman"/>
          <w:sz w:val="20"/>
          <w:szCs w:val="20"/>
          <w:b w:val="1"/>
          <w:bCs w:val="1"/>
          <w:color w:val="18181A"/>
        </w:rPr>
        <w:t>THIRD:</w:t>
      </w:r>
      <w:r>
        <w:rPr>
          <w:sz w:val="20"/>
          <w:szCs w:val="20"/>
          <w:color w:val="auto"/>
        </w:rPr>
        <w:tab/>
      </w:r>
      <w:r>
        <w:rPr>
          <w:rFonts w:ascii="Times New Roman" w:cs="Times New Roman" w:eastAsia="Times New Roman" w:hAnsi="Times New Roman"/>
          <w:sz w:val="20"/>
          <w:szCs w:val="20"/>
          <w:color w:val="18181A"/>
        </w:rPr>
        <w:t>This Amendment to the Amended and Restated Certificate was duly adopted by the Board of Directors of the Corporation and the stockholders of the Corporation in accordance with Section 242 of the DGCL.</w:t>
      </w:r>
    </w:p>
    <w:p>
      <w:pPr>
        <w:spacing w:after="0" w:line="7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18181A"/>
        </w:rPr>
        <w:t>FOURTH:</w:t>
      </w:r>
      <w:r>
        <w:rPr>
          <w:sz w:val="20"/>
          <w:szCs w:val="20"/>
          <w:color w:val="auto"/>
        </w:rPr>
        <w:tab/>
      </w:r>
      <w:r>
        <w:rPr>
          <w:rFonts w:ascii="Times New Roman" w:cs="Times New Roman" w:eastAsia="Times New Roman" w:hAnsi="Times New Roman"/>
          <w:sz w:val="19"/>
          <w:szCs w:val="19"/>
          <w:color w:val="18181A"/>
        </w:rPr>
        <w:t>Section 7.1 of the Amended and Restated Certificate is hereby amended in its entirety to read as follows:</w:t>
      </w:r>
    </w:p>
    <w:p>
      <w:pPr>
        <w:spacing w:after="0" w:line="1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18181A"/>
        </w:rPr>
        <w:t xml:space="preserve">7.1 </w:t>
      </w:r>
      <w:r>
        <w:rPr>
          <w:rFonts w:ascii="Times New Roman" w:cs="Times New Roman" w:eastAsia="Times New Roman" w:hAnsi="Times New Roman"/>
          <w:sz w:val="20"/>
          <w:szCs w:val="20"/>
          <w:u w:val="single" w:color="auto"/>
          <w:color w:val="18181A"/>
        </w:rPr>
        <w:t>Limited Liability of Directors and Officers.</w:t>
      </w:r>
      <w:r>
        <w:rPr>
          <w:rFonts w:ascii="Times New Roman" w:cs="Times New Roman" w:eastAsia="Times New Roman" w:hAnsi="Times New Roman"/>
          <w:sz w:val="20"/>
          <w:szCs w:val="20"/>
          <w:color w:val="18181A"/>
        </w:rPr>
        <w:t xml:space="preserve"> To the fullest extent permitted by the DGCL, as the same exists or as may hereafter be amended, no director or officer of the Corporation shall have any personal liability to the Corporation or any of its stockholders for monetary damages for any breach of fiduciary duty as a director or officer, as applicable. If the DGCL is amended hereafter to permit the further elimination or limitation of the liability of directors or officers, then the liability of a director or officer of the Corporation shall be eliminated or limited to the fullest extent permitted by the DGCL, as so amended, without further action by the Corporation. Any alteration, amendment, addition to or repeal of this Section 7.1</w:t>
      </w:r>
      <w:r>
        <w:rPr>
          <w:rFonts w:ascii="Times New Roman" w:cs="Times New Roman" w:eastAsia="Times New Roman" w:hAnsi="Times New Roman"/>
          <w:sz w:val="20"/>
          <w:szCs w:val="20"/>
          <w:b w:val="1"/>
          <w:bCs w:val="1"/>
          <w:color w:val="18181A"/>
        </w:rPr>
        <w:t>,</w:t>
      </w:r>
      <w:r>
        <w:rPr>
          <w:rFonts w:ascii="Times New Roman" w:cs="Times New Roman" w:eastAsia="Times New Roman" w:hAnsi="Times New Roman"/>
          <w:sz w:val="20"/>
          <w:szCs w:val="20"/>
          <w:color w:val="18181A"/>
        </w:rPr>
        <w:t xml:space="preserve"> or adoption of any provision of this Certificate (including any certificate of designations relating to any series of Preferred Stock) inconsistent with this Section 7.1, shall not reduce, eliminate or adversely affect any right or protection of a director or officer of the Corporation existing at the time of such alteration, amendment, addition to, repeal or adoption with respect to acts or omissions occurring prior to such alteration, amendment</w:t>
      </w:r>
      <w:r>
        <w:rPr>
          <w:rFonts w:ascii="Times New Roman" w:cs="Times New Roman" w:eastAsia="Times New Roman" w:hAnsi="Times New Roman"/>
          <w:sz w:val="20"/>
          <w:szCs w:val="20"/>
          <w:color w:val="343836"/>
        </w:rPr>
        <w:t>,</w:t>
      </w:r>
      <w:r>
        <w:rPr>
          <w:rFonts w:ascii="Times New Roman" w:cs="Times New Roman" w:eastAsia="Times New Roman" w:hAnsi="Times New Roman"/>
          <w:sz w:val="20"/>
          <w:szCs w:val="20"/>
          <w:color w:val="18181A"/>
        </w:rPr>
        <w:t xml:space="preserve"> addition to, repeal or adoption. For purposes of this Article VII, "officer" shall have the meaning provided in Section 102(b)(7) of the DGCL as it presently exists or hereafter may be amended from time to time.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8181A"/>
        </w:rPr>
        <w:t>[The remainder of this page is intentionally left blank.]</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81A1C"/>
        </w:rPr>
        <w:t>IN WITNESS WHEREOF, the Corporation has caused this Amendment to the Amended and Restated Certificate to be duly executed on its behalf as of the date first written above.</w:t>
      </w: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181A1C"/>
        </w:rPr>
        <w:t>FIRST WATCH RESTAURANT GROUP, INC.</w:t>
      </w:r>
    </w:p>
    <w:p>
      <w:pPr>
        <w:spacing w:after="0" w:line="1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181A1C"/>
        </w:rPr>
        <w:t xml:space="preserve">By: </w:t>
      </w:r>
      <w:r>
        <w:rPr>
          <w:rFonts w:ascii="Times New Roman" w:cs="Times New Roman" w:eastAsia="Times New Roman" w:hAnsi="Times New Roman"/>
          <w:sz w:val="20"/>
          <w:szCs w:val="20"/>
          <w:color w:val="181A1C"/>
        </w:rPr>
        <w:t>/s/ Jay Wolszczak</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 xml:space="preserve">Name: </w:t>
      </w:r>
      <w:r>
        <w:rPr>
          <w:rFonts w:ascii="Times New Roman" w:cs="Times New Roman" w:eastAsia="Times New Roman" w:hAnsi="Times New Roman"/>
          <w:sz w:val="20"/>
          <w:szCs w:val="20"/>
          <w:color w:val="auto"/>
        </w:rPr>
        <w:t>Jay Wolszczak</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 xml:space="preserve">Title: </w:t>
      </w:r>
      <w:r>
        <w:rPr>
          <w:rFonts w:ascii="Times New Roman" w:cs="Times New Roman" w:eastAsia="Times New Roman" w:hAnsi="Times New Roman"/>
          <w:sz w:val="20"/>
          <w:szCs w:val="20"/>
          <w:color w:val="auto"/>
        </w:rPr>
        <w:t>Chief Legal Officer,</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81A1C"/>
        </w:rPr>
        <w:t>[Signature of Certificate of Amendment to A&amp;R Certificate of Incorporation]</w:t>
      </w:r>
    </w:p>
    <w:p>
      <w:pPr>
        <w:sectPr>
          <w:pgSz w:w="11900" w:h="16838" w:orient="portrait"/>
          <w:cols w:equalWidth="0" w:num="1">
            <w:col w:w="11240"/>
          </w:cols>
          <w:pgMar w:left="320" w:top="144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Watch Restaurant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Severance Plan</w:t>
      </w:r>
    </w:p>
    <w:p>
      <w:pPr>
        <w:spacing w:after="0" w:line="22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I.</w:t>
        <w:tab/>
        <w:t>PURPOSE</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color w:val="auto"/>
        </w:rPr>
        <w:t>The purpose of this First Watch Restaurant Group, Inc. Executive Severance Plan (this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is to retain certain officers and other key employees of the Company by providing appropriate severance benefits to such individuals and to ensure their continued dedication to their duties, including in the event of a Change of Control.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II. Eligible Participants</w:t>
      </w:r>
    </w:p>
    <w:p>
      <w:pPr>
        <w:spacing w:after="0" w:line="23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Participants in the Plan will include the Executive Officers of the Company and any other individuals selected by the Committee in its sole discretion, in each case, who executes a Participation Agreement (each, an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III. DEFINITIONS AND CONSTRUCTION</w:t>
      </w:r>
    </w:p>
    <w:p>
      <w:pPr>
        <w:spacing w:after="0" w:line="229" w:lineRule="exact"/>
        <w:rPr>
          <w:sz w:val="20"/>
          <w:szCs w:val="20"/>
          <w:color w:val="auto"/>
        </w:rPr>
      </w:pPr>
    </w:p>
    <w:p>
      <w:pPr>
        <w:ind w:right="120"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the following capitalized words and phrases appear in this Plan, they shall have the respective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below:</w:t>
      </w:r>
    </w:p>
    <w:p>
      <w:pPr>
        <w:spacing w:after="0" w:line="139" w:lineRule="exact"/>
        <w:rPr>
          <w:sz w:val="20"/>
          <w:szCs w:val="20"/>
          <w:color w:val="auto"/>
        </w:rPr>
      </w:pPr>
    </w:p>
    <w:p>
      <w:pPr>
        <w:ind w:left="1300" w:hanging="320"/>
        <w:spacing w:after="0" w:line="287" w:lineRule="auto"/>
        <w:tabs>
          <w:tab w:leader="none" w:pos="129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“Applicable Factor” </w:t>
      </w:r>
      <w:r>
        <w:rPr>
          <w:rFonts w:ascii="Times New Roman" w:cs="Times New Roman" w:eastAsia="Times New Roman" w:hAnsi="Times New Roman"/>
          <w:sz w:val="20"/>
          <w:szCs w:val="20"/>
          <w:color w:val="auto"/>
        </w:rPr>
        <w:t>shall mean the relevant factor specified as applicable to the Executive, as set forth on the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opposite such Executive’s job level in the column titled “Applicable Factor”.</w:t>
      </w:r>
    </w:p>
    <w:p>
      <w:pPr>
        <w:spacing w:after="0" w:line="165" w:lineRule="exact"/>
        <w:rPr>
          <w:rFonts w:ascii="Times New Roman" w:cs="Times New Roman" w:eastAsia="Times New Roman" w:hAnsi="Times New Roman"/>
          <w:sz w:val="20"/>
          <w:szCs w:val="20"/>
          <w:color w:val="auto"/>
        </w:rPr>
      </w:pPr>
    </w:p>
    <w:p>
      <w:pPr>
        <w:ind w:left="1300" w:hanging="320"/>
        <w:spacing w:after="0" w:line="287" w:lineRule="auto"/>
        <w:tabs>
          <w:tab w:leader="none" w:pos="12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“Applicable CIC Factor” </w:t>
      </w:r>
      <w:r>
        <w:rPr>
          <w:rFonts w:ascii="Times New Roman" w:cs="Times New Roman" w:eastAsia="Times New Roman" w:hAnsi="Times New Roman"/>
          <w:sz w:val="20"/>
          <w:szCs w:val="20"/>
          <w:color w:val="auto"/>
        </w:rPr>
        <w:t>shall mean the relevant factor specified as applicable to the Executive, as set forth on the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opposite such Executive’s job level in the column titled “Applicable CIC Factor”.</w:t>
      </w:r>
    </w:p>
    <w:p>
      <w:pPr>
        <w:spacing w:after="0" w:line="15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“Board” </w:t>
      </w:r>
      <w:r>
        <w:rPr>
          <w:rFonts w:ascii="Times New Roman" w:cs="Times New Roman" w:eastAsia="Times New Roman" w:hAnsi="Times New Roman"/>
          <w:sz w:val="20"/>
          <w:szCs w:val="20"/>
          <w:color w:val="auto"/>
        </w:rPr>
        <w:t>shall mean the Board of Directors of the Company.</w:t>
      </w:r>
    </w:p>
    <w:p>
      <w:pPr>
        <w:spacing w:after="0" w:line="242" w:lineRule="exact"/>
        <w:rPr>
          <w:rFonts w:ascii="Times New Roman" w:cs="Times New Roman" w:eastAsia="Times New Roman" w:hAnsi="Times New Roman"/>
          <w:sz w:val="20"/>
          <w:szCs w:val="20"/>
          <w:color w:val="auto"/>
        </w:rPr>
      </w:pPr>
    </w:p>
    <w:p>
      <w:pPr>
        <w:jc w:val="both"/>
        <w:ind w:left="1300" w:hanging="320"/>
        <w:spacing w:after="0" w:line="273" w:lineRule="auto"/>
        <w:tabs>
          <w:tab w:leader="none" w:pos="128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“Cause” </w:t>
      </w:r>
      <w:r>
        <w:rPr>
          <w:rFonts w:ascii="Times New Roman" w:cs="Times New Roman" w:eastAsia="Times New Roman" w:hAnsi="Times New Roman"/>
          <w:sz w:val="19"/>
          <w:szCs w:val="19"/>
          <w:color w:val="auto"/>
        </w:rPr>
        <w:t>shall mean with respect to an Executive’s termination of service, the following: (i) in the case where there is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employment agreement or similar agreement in effect between the Company and the Executive (or where there is such an agreement but it does not define “cause” (or words of like import, which shall include, but not be limited to “gross misconduct”)), termination due to the Executive’s (A) failure to substantially perform the Executive’s duties or obey lawful directives that continues after receipt of written notice from the Company and a ten (10)-day opportunity to cure; (B) gross misconduct or gross negligence in the performance of Participant’s duties; (C) fraud, embezzlement, theft, or any other act of material dishonesty or misconduct; (D) conviction of, indictment for, or plea of guilty or nolo contendere to, a felony or any crime involving moral turpitude, (E) (x) material breach or violation of any agreement with the Company or its affiliates, including any restrictive covenant agreement applicable to the Executive, or (y) significant violation of the code of conduct or similar written policy, including, without limitation, any sexual harassment policy, of the Company or its affiliates; or</w:t>
      </w:r>
    </w:p>
    <w:p>
      <w:pPr>
        <w:spacing w:after="0" w:line="4" w:lineRule="exact"/>
        <w:rPr>
          <w:rFonts w:ascii="Times New Roman" w:cs="Times New Roman" w:eastAsia="Times New Roman" w:hAnsi="Times New Roman"/>
          <w:sz w:val="19"/>
          <w:szCs w:val="19"/>
          <w:color w:val="auto"/>
        </w:rPr>
      </w:pPr>
    </w:p>
    <w:p>
      <w:pPr>
        <w:ind w:left="1300" w:firstLine="4"/>
        <w:spacing w:after="0" w:line="267" w:lineRule="auto"/>
        <w:tabs>
          <w:tab w:leader="none" w:pos="160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conduct, acts, or omissions that, in the good faith judgment of the Company, are likely to significantly injure the reputation, business, or a business relationship of the Company or any of its affiliates; or (ii) in the case where</w:t>
      </w:r>
    </w:p>
    <w:p>
      <w:pPr>
        <w:sectPr>
          <w:pgSz w:w="11900" w:h="16838" w:orient="portrait"/>
          <w:cols w:equalWidth="0" w:num="1">
            <w:col w:w="11240"/>
          </w:cols>
          <w:pgMar w:left="320" w:top="122" w:right="339" w:bottom="1440" w:gutter="0" w:footer="0" w:header="0"/>
        </w:sectPr>
      </w:pPr>
    </w:p>
    <w:bookmarkStart w:id="99" w:name="page100"/>
    <w:bookmarkEnd w:id="99"/>
    <w:p>
      <w:pPr>
        <w:spacing w:after="0" w:line="203" w:lineRule="exact"/>
        <w:rPr>
          <w:sz w:val="20"/>
          <w:szCs w:val="20"/>
          <w:color w:val="auto"/>
        </w:rPr>
      </w:pPr>
    </w:p>
    <w:p>
      <w:pPr>
        <w:jc w:val="both"/>
        <w:ind w:left="320"/>
        <w:spacing w:after="0" w:line="275" w:lineRule="auto"/>
        <w:rPr>
          <w:sz w:val="20"/>
          <w:szCs w:val="20"/>
          <w:color w:val="auto"/>
        </w:rPr>
      </w:pPr>
      <w:r>
        <w:rPr>
          <w:rFonts w:ascii="Times New Roman" w:cs="Times New Roman" w:eastAsia="Times New Roman" w:hAnsi="Times New Roman"/>
          <w:sz w:val="20"/>
          <w:szCs w:val="20"/>
          <w:color w:val="auto"/>
        </w:rPr>
        <w:t>there is an employment agreement, change in control agreement, or similar agreement in effect between the Company and the Executive that defines “cause” (or words of like import, which shall include but not be limited to “gross misconduct”), “cause” as defined under such agreement.</w:t>
      </w:r>
    </w:p>
    <w:p>
      <w:pPr>
        <w:spacing w:after="0" w:line="164" w:lineRule="exact"/>
        <w:rPr>
          <w:sz w:val="20"/>
          <w:szCs w:val="20"/>
          <w:color w:val="auto"/>
        </w:rPr>
      </w:pPr>
    </w:p>
    <w:p>
      <w:pPr>
        <w:ind w:left="320" w:hanging="320"/>
        <w:spacing w:after="0"/>
        <w:tabs>
          <w:tab w:leader="none" w:pos="3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of Control” </w:t>
      </w:r>
      <w:r>
        <w:rPr>
          <w:rFonts w:ascii="Times New Roman" w:cs="Times New Roman" w:eastAsia="Times New Roman" w:hAnsi="Times New Roman"/>
          <w:sz w:val="20"/>
          <w:szCs w:val="20"/>
          <w:color w:val="auto"/>
        </w:rPr>
        <w:t>shall mean the first to occur of any of the following:</w:t>
      </w:r>
    </w:p>
    <w:p>
      <w:pPr>
        <w:spacing w:after="0" w:line="233" w:lineRule="exact"/>
        <w:rPr>
          <w:rFonts w:ascii="Times New Roman" w:cs="Times New Roman" w:eastAsia="Times New Roman" w:hAnsi="Times New Roman"/>
          <w:sz w:val="20"/>
          <w:szCs w:val="20"/>
          <w:color w:val="auto"/>
        </w:rPr>
      </w:pPr>
    </w:p>
    <w:p>
      <w:pPr>
        <w:jc w:val="both"/>
        <w:ind w:left="980" w:hanging="251"/>
        <w:spacing w:after="0" w:line="268" w:lineRule="auto"/>
        <w:tabs>
          <w:tab w:leader="none" w:pos="97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becomes the “beneficial owner” (as defined in Rule 13d-3 under the Exchange Act), directly or indirectly, of securities of the Company representing more than 50% of the combined voting power of the Company’s then outstanding securities;</w:t>
      </w:r>
    </w:p>
    <w:p>
      <w:pPr>
        <w:spacing w:after="0" w:line="169" w:lineRule="exact"/>
        <w:rPr>
          <w:rFonts w:ascii="Times New Roman" w:cs="Times New Roman" w:eastAsia="Times New Roman" w:hAnsi="Times New Roman"/>
          <w:sz w:val="20"/>
          <w:szCs w:val="20"/>
          <w:color w:val="auto"/>
        </w:rPr>
      </w:pPr>
    </w:p>
    <w:p>
      <w:pPr>
        <w:jc w:val="both"/>
        <w:ind w:left="980" w:hanging="251"/>
        <w:spacing w:after="0" w:line="263" w:lineRule="auto"/>
        <w:tabs>
          <w:tab w:leader="none" w:pos="97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(the “</w:t>
      </w:r>
      <w:r>
        <w:rPr>
          <w:rFonts w:ascii="Times New Roman" w:cs="Times New Roman" w:eastAsia="Times New Roman" w:hAnsi="Times New Roman"/>
          <w:sz w:val="20"/>
          <w:szCs w:val="20"/>
          <w:b w:val="1"/>
          <w:bCs w:val="1"/>
          <w:color w:val="auto"/>
        </w:rPr>
        <w:t>Board Measurement Period</w:t>
      </w:r>
      <w:r>
        <w:rPr>
          <w:rFonts w:ascii="Times New Roman" w:cs="Times New Roman" w:eastAsia="Times New Roman" w:hAnsi="Times New Roman"/>
          <w:sz w:val="20"/>
          <w:szCs w:val="20"/>
          <w:color w:val="auto"/>
        </w:rPr>
        <w:t>”) individuals who at the beginning of such period constitute the Board and any new director (other than a director designated by a Person who has entered into an agreement with the Company to effect a transaction described in paragraph (i), (iii), or (iv)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79" w:lineRule="exact"/>
        <w:rPr>
          <w:rFonts w:ascii="Times New Roman" w:cs="Times New Roman" w:eastAsia="Times New Roman" w:hAnsi="Times New Roman"/>
          <w:sz w:val="20"/>
          <w:szCs w:val="20"/>
          <w:color w:val="auto"/>
        </w:rPr>
      </w:pPr>
    </w:p>
    <w:p>
      <w:pPr>
        <w:jc w:val="both"/>
        <w:ind w:left="980" w:hanging="251"/>
        <w:spacing w:after="0" w:line="261" w:lineRule="auto"/>
        <w:tabs>
          <w:tab w:leader="none" w:pos="97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of Control of the Company; or</w:t>
      </w:r>
    </w:p>
    <w:p>
      <w:pPr>
        <w:spacing w:after="0" w:line="199" w:lineRule="exact"/>
        <w:rPr>
          <w:rFonts w:ascii="Times New Roman" w:cs="Times New Roman" w:eastAsia="Times New Roman" w:hAnsi="Times New Roman"/>
          <w:sz w:val="20"/>
          <w:szCs w:val="20"/>
          <w:color w:val="auto"/>
        </w:rPr>
      </w:pPr>
    </w:p>
    <w:p>
      <w:pPr>
        <w:jc w:val="both"/>
        <w:ind w:left="980" w:hanging="251"/>
        <w:spacing w:after="0" w:line="268" w:lineRule="auto"/>
        <w:tabs>
          <w:tab w:leader="none" w:pos="95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sale or disposition by the Company of all or substantially all of the Company’s assets other than (A) the sale or disposition of all or substantially all of the assets of the Company to a Person or Persons who beneficially own, directly or indirectly, more than 50% of the combined voting power of the outstanding voting securities of the Company at the time of the sale</w:t>
      </w:r>
    </w:p>
    <w:p>
      <w:pPr>
        <w:sectPr>
          <w:pgSz w:w="11900" w:h="16838" w:orient="portrait"/>
          <w:cols w:equalWidth="0" w:num="1">
            <w:col w:w="10260"/>
          </w:cols>
          <w:pgMar w:left="1300" w:top="1440" w:right="339" w:bottom="1440" w:gutter="0" w:footer="0" w:header="0"/>
        </w:sectPr>
      </w:pPr>
    </w:p>
    <w:bookmarkStart w:id="100" w:name="page101"/>
    <w:bookmarkEnd w:id="100"/>
    <w:p>
      <w:pPr>
        <w:spacing w:after="0" w:line="203" w:lineRule="exact"/>
        <w:rPr>
          <w:sz w:val="20"/>
          <w:szCs w:val="20"/>
          <w:color w:val="auto"/>
        </w:rPr>
      </w:pPr>
    </w:p>
    <w:p>
      <w:pPr>
        <w:ind w:left="980"/>
        <w:spacing w:after="0" w:line="283" w:lineRule="auto"/>
        <w:rPr>
          <w:sz w:val="20"/>
          <w:szCs w:val="20"/>
          <w:color w:val="auto"/>
        </w:rPr>
      </w:pPr>
      <w:r>
        <w:rPr>
          <w:rFonts w:ascii="Times New Roman" w:cs="Times New Roman" w:eastAsia="Times New Roman" w:hAnsi="Times New Roman"/>
          <w:sz w:val="20"/>
          <w:szCs w:val="20"/>
          <w:color w:val="auto"/>
        </w:rPr>
        <w:t>or disposition or (B) pursuant to a spinoff type transaction, directly or indirectly, of such assets to the stockholders of the Company.</w:t>
      </w:r>
    </w:p>
    <w:p>
      <w:pPr>
        <w:spacing w:after="0" w:line="173"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20"/>
          <w:szCs w:val="20"/>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 For purposes of this definition of Change of Control,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shall mean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91" w:lineRule="exact"/>
        <w:rPr>
          <w:sz w:val="20"/>
          <w:szCs w:val="20"/>
          <w:color w:val="auto"/>
        </w:rPr>
      </w:pPr>
    </w:p>
    <w:p>
      <w:pPr>
        <w:ind w:left="320" w:hanging="320"/>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“COBRA” </w:t>
      </w:r>
      <w:r>
        <w:rPr>
          <w:rFonts w:ascii="Times New Roman" w:cs="Times New Roman" w:eastAsia="Times New Roman" w:hAnsi="Times New Roman"/>
          <w:sz w:val="20"/>
          <w:szCs w:val="20"/>
          <w:color w:val="auto"/>
        </w:rPr>
        <w:t>means the Consolidated Omnibus Budget Reconciliation Act of 1985, as amended.</w:t>
      </w:r>
    </w:p>
    <w:p>
      <w:pPr>
        <w:spacing w:after="0" w:line="229" w:lineRule="exact"/>
        <w:rPr>
          <w:rFonts w:ascii="Times New Roman" w:cs="Times New Roman" w:eastAsia="Times New Roman" w:hAnsi="Times New Roman"/>
          <w:sz w:val="20"/>
          <w:szCs w:val="20"/>
          <w:color w:val="auto"/>
        </w:rPr>
      </w:pPr>
    </w:p>
    <w:p>
      <w:pPr>
        <w:ind w:left="320" w:hanging="320"/>
        <w:spacing w:after="0" w:line="287" w:lineRule="auto"/>
        <w:tabs>
          <w:tab w:leader="none" w:pos="30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shall mean the Internal Revenue Code of 1986, as amended from time to time, or any successor thereto,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rulings and regulations issued thereunder.</w:t>
      </w:r>
    </w:p>
    <w:p>
      <w:pPr>
        <w:spacing w:after="0" w:line="165" w:lineRule="exact"/>
        <w:rPr>
          <w:rFonts w:ascii="Times New Roman" w:cs="Times New Roman" w:eastAsia="Times New Roman" w:hAnsi="Times New Roman"/>
          <w:sz w:val="20"/>
          <w:szCs w:val="20"/>
          <w:color w:val="auto"/>
        </w:rPr>
      </w:pPr>
    </w:p>
    <w:p>
      <w:pPr>
        <w:jc w:val="both"/>
        <w:ind w:left="320" w:hanging="320"/>
        <w:spacing w:after="0" w:line="315" w:lineRule="auto"/>
        <w:tabs>
          <w:tab w:leader="none" w:pos="30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“Committee” </w:t>
      </w:r>
      <w:r>
        <w:rPr>
          <w:rFonts w:ascii="Times New Roman" w:cs="Times New Roman" w:eastAsia="Times New Roman" w:hAnsi="Times New Roman"/>
          <w:sz w:val="19"/>
          <w:szCs w:val="19"/>
          <w:color w:val="auto"/>
        </w:rPr>
        <w:t>means (i) the Compensation Committee of the Board, (ii) such other committee of no fewer than two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members of the Board who are appointed by the Board to administer the Plan, or (iii) the Board, as determined by the Board.</w:t>
      </w:r>
    </w:p>
    <w:p>
      <w:pPr>
        <w:spacing w:after="0" w:line="128" w:lineRule="exact"/>
        <w:rPr>
          <w:rFonts w:ascii="Times New Roman" w:cs="Times New Roman" w:eastAsia="Times New Roman" w:hAnsi="Times New Roman"/>
          <w:sz w:val="19"/>
          <w:szCs w:val="19"/>
          <w:color w:val="auto"/>
        </w:rPr>
      </w:pPr>
    </w:p>
    <w:p>
      <w:pPr>
        <w:ind w:left="320" w:hanging="320"/>
        <w:spacing w:after="0" w:line="301" w:lineRule="auto"/>
        <w:tabs>
          <w:tab w:leader="none" w:pos="3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shall mean First Watch Restaurant Group, Inc., a Delaware corporation, together with its direct and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w:t>
      </w:r>
    </w:p>
    <w:p>
      <w:pPr>
        <w:spacing w:after="0" w:line="138" w:lineRule="exact"/>
        <w:rPr>
          <w:rFonts w:ascii="Times New Roman" w:cs="Times New Roman" w:eastAsia="Times New Roman" w:hAnsi="Times New Roman"/>
          <w:sz w:val="20"/>
          <w:szCs w:val="20"/>
          <w:color w:val="auto"/>
        </w:rPr>
      </w:pPr>
    </w:p>
    <w:p>
      <w:pPr>
        <w:ind w:left="320" w:hanging="320"/>
        <w:spacing w:after="0" w:line="287" w:lineRule="auto"/>
        <w:tabs>
          <w:tab w:leader="none" w:pos="3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“Equity Plan” </w:t>
      </w:r>
      <w:r>
        <w:rPr>
          <w:rFonts w:ascii="Times New Roman" w:cs="Times New Roman" w:eastAsia="Times New Roman" w:hAnsi="Times New Roman"/>
          <w:sz w:val="20"/>
          <w:szCs w:val="20"/>
          <w:color w:val="auto"/>
        </w:rPr>
        <w:t>means the Company’s 2021 Equity Incentive Plan, as such may be amended from time to time,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 plan thereto and any award agreements evidencing awards granted thereunder.</w:t>
      </w:r>
    </w:p>
    <w:p>
      <w:pPr>
        <w:spacing w:after="0" w:line="165" w:lineRule="exact"/>
        <w:rPr>
          <w:rFonts w:ascii="Times New Roman" w:cs="Times New Roman" w:eastAsia="Times New Roman" w:hAnsi="Times New Roman"/>
          <w:sz w:val="20"/>
          <w:szCs w:val="20"/>
          <w:color w:val="auto"/>
        </w:rPr>
      </w:pPr>
    </w:p>
    <w:p>
      <w:pPr>
        <w:ind w:left="320" w:hanging="320"/>
        <w:spacing w:after="0" w:line="287" w:lineRule="auto"/>
        <w:tabs>
          <w:tab w:leader="none" w:pos="30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means the Securities Exchange Act of 1934, as amended, and the rules and regulations promulgated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 as the same may be amended from time to time.</w:t>
      </w:r>
    </w:p>
    <w:p>
      <w:pPr>
        <w:spacing w:after="0" w:line="151" w:lineRule="exact"/>
        <w:rPr>
          <w:rFonts w:ascii="Times New Roman" w:cs="Times New Roman" w:eastAsia="Times New Roman" w:hAnsi="Times New Roman"/>
          <w:sz w:val="20"/>
          <w:szCs w:val="20"/>
          <w:color w:val="auto"/>
        </w:rPr>
      </w:pPr>
    </w:p>
    <w:p>
      <w:pPr>
        <w:ind w:left="320" w:hanging="320"/>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“Executive Officer” </w:t>
      </w:r>
      <w:r>
        <w:rPr>
          <w:rFonts w:ascii="Times New Roman" w:cs="Times New Roman" w:eastAsia="Times New Roman" w:hAnsi="Times New Roman"/>
          <w:sz w:val="20"/>
          <w:szCs w:val="20"/>
          <w:color w:val="auto"/>
        </w:rPr>
        <w:t>shall have the definition set forth in Rule 3(b)(7) of the Exchange Act.</w:t>
      </w:r>
    </w:p>
    <w:p>
      <w:pPr>
        <w:spacing w:after="0" w:line="242" w:lineRule="exact"/>
        <w:rPr>
          <w:rFonts w:ascii="Times New Roman" w:cs="Times New Roman" w:eastAsia="Times New Roman" w:hAnsi="Times New Roman"/>
          <w:sz w:val="20"/>
          <w:szCs w:val="20"/>
          <w:color w:val="auto"/>
        </w:rPr>
      </w:pPr>
    </w:p>
    <w:p>
      <w:pPr>
        <w:jc w:val="both"/>
        <w:ind w:left="320" w:hanging="320"/>
        <w:spacing w:after="0" w:line="261" w:lineRule="auto"/>
        <w:tabs>
          <w:tab w:leader="none" w:pos="30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“Good Reason” </w:t>
      </w:r>
      <w:r>
        <w:rPr>
          <w:rFonts w:ascii="Times New Roman" w:cs="Times New Roman" w:eastAsia="Times New Roman" w:hAnsi="Times New Roman"/>
          <w:sz w:val="20"/>
          <w:szCs w:val="20"/>
          <w:color w:val="auto"/>
        </w:rPr>
        <w:t>shall mean the occurrence of any of the following events without the consent of the Executive: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materially reduces the Executive’s annual base salary (other than as part of an across-the-board reduction applicable to all similarly situated employees unrelated to a Change of Control) or annual bonus opportunity percentage; (ii) a material diminution in the Executive’s responsibilities or (iii) the Company relocates the Executive’s principal place of employment more than twenty-five (25) miles from the existing location (unless such relocation results in a reduction in the Executive’s one-way commute). Notwithstanding the foregoing, the events described in clauses (i), (ii), or (iii) shall not constitute Good Reason unless (A) the Executive has given the Company written notice of the Executive’s resignation for Good Reason, setting forth the conduct of the Company that is alleged to constitute Good Reason, within thirty (30) days following the date on which such conduct occurred, and (B) the</w:t>
      </w:r>
    </w:p>
    <w:p>
      <w:pPr>
        <w:sectPr>
          <w:pgSz w:w="11900" w:h="16838" w:orient="portrait"/>
          <w:cols w:equalWidth="0" w:num="1">
            <w:col w:w="10260"/>
          </w:cols>
          <w:pgMar w:left="1300" w:top="1440" w:right="339" w:bottom="1440" w:gutter="0" w:footer="0" w:header="0"/>
        </w:sectPr>
      </w:pPr>
    </w:p>
    <w:bookmarkStart w:id="101" w:name="page102"/>
    <w:bookmarkEnd w:id="101"/>
    <w:p>
      <w:pPr>
        <w:spacing w:after="0" w:line="203"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Executive has provided the Company at least thirty (30) days following the date on which notice is provided to cure such conduct and the Company has failed to do so.</w:t>
      </w:r>
    </w:p>
    <w:p>
      <w:pPr>
        <w:spacing w:after="0" w:line="169" w:lineRule="exact"/>
        <w:rPr>
          <w:sz w:val="20"/>
          <w:szCs w:val="20"/>
          <w:color w:val="auto"/>
        </w:rPr>
      </w:pPr>
    </w:p>
    <w:p>
      <w:pPr>
        <w:ind w:left="1300" w:right="20" w:hanging="320"/>
        <w:spacing w:after="0" w:line="287" w:lineRule="auto"/>
        <w:tabs>
          <w:tab w:leader="none" w:pos="128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“Outplacement Period” </w:t>
      </w:r>
      <w:r>
        <w:rPr>
          <w:rFonts w:ascii="Times New Roman" w:cs="Times New Roman" w:eastAsia="Times New Roman" w:hAnsi="Times New Roman"/>
          <w:sz w:val="20"/>
          <w:szCs w:val="20"/>
          <w:color w:val="auto"/>
        </w:rPr>
        <w:t>shall mean the relevant number of months specified as applicable to the Executive,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attached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opposite such Executive’s job level in the column titled “Outplacement Period”.</w:t>
      </w:r>
    </w:p>
    <w:p>
      <w:pPr>
        <w:spacing w:after="0" w:line="151" w:lineRule="exact"/>
        <w:rPr>
          <w:rFonts w:ascii="Times New Roman" w:cs="Times New Roman" w:eastAsia="Times New Roman" w:hAnsi="Times New Roman"/>
          <w:sz w:val="20"/>
          <w:szCs w:val="20"/>
          <w:color w:val="auto"/>
        </w:rPr>
      </w:pPr>
    </w:p>
    <w:p>
      <w:pPr>
        <w:ind w:left="1300" w:right="20" w:hanging="320"/>
        <w:spacing w:after="0" w:line="301" w:lineRule="auto"/>
        <w:tabs>
          <w:tab w:leader="none" w:pos="128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“Participation Agreement” </w:t>
      </w:r>
      <w:r>
        <w:rPr>
          <w:rFonts w:ascii="Times New Roman" w:cs="Times New Roman" w:eastAsia="Times New Roman" w:hAnsi="Times New Roman"/>
          <w:sz w:val="20"/>
          <w:szCs w:val="20"/>
          <w:color w:val="auto"/>
        </w:rPr>
        <w:t>shall mean an agreement between the Company and an Executive in the form attached hereto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shall be incorporated into and made part of this Plan.</w:t>
      </w:r>
    </w:p>
    <w:p>
      <w:pPr>
        <w:spacing w:after="0" w:line="138" w:lineRule="exact"/>
        <w:rPr>
          <w:rFonts w:ascii="Times New Roman" w:cs="Times New Roman" w:eastAsia="Times New Roman" w:hAnsi="Times New Roman"/>
          <w:sz w:val="20"/>
          <w:szCs w:val="20"/>
          <w:color w:val="auto"/>
        </w:rPr>
      </w:pPr>
    </w:p>
    <w:p>
      <w:pPr>
        <w:ind w:left="1300" w:right="20" w:hanging="320"/>
        <w:spacing w:after="0" w:line="287" w:lineRule="auto"/>
        <w:tabs>
          <w:tab w:leader="none" w:pos="128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“Payment Date” </w:t>
      </w:r>
      <w:r>
        <w:rPr>
          <w:rFonts w:ascii="Times New Roman" w:cs="Times New Roman" w:eastAsia="Times New Roman" w:hAnsi="Times New Roman"/>
          <w:sz w:val="20"/>
          <w:szCs w:val="20"/>
          <w:color w:val="auto"/>
        </w:rPr>
        <w:t>shall mean the first regularly scheduled payroll date that is at least sixty (60) days following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the Qualifying Termination.</w:t>
      </w:r>
    </w:p>
    <w:p>
      <w:pPr>
        <w:spacing w:after="0" w:line="165" w:lineRule="exact"/>
        <w:rPr>
          <w:rFonts w:ascii="Times New Roman" w:cs="Times New Roman" w:eastAsia="Times New Roman" w:hAnsi="Times New Roman"/>
          <w:sz w:val="20"/>
          <w:szCs w:val="20"/>
          <w:color w:val="auto"/>
        </w:rPr>
      </w:pPr>
    </w:p>
    <w:p>
      <w:pPr>
        <w:ind w:left="1300" w:hanging="320"/>
        <w:spacing w:after="0" w:line="287" w:lineRule="auto"/>
        <w:tabs>
          <w:tab w:leader="none" w:pos="128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“Protection Period” </w:t>
      </w:r>
      <w:r>
        <w:rPr>
          <w:rFonts w:ascii="Times New Roman" w:cs="Times New Roman" w:eastAsia="Times New Roman" w:hAnsi="Times New Roman"/>
          <w:sz w:val="20"/>
          <w:szCs w:val="20"/>
          <w:color w:val="auto"/>
        </w:rPr>
        <w:t>shall mean the period commencing on the consummation of a Change of Control and ending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second anniversary of such Change of Control.</w:t>
      </w:r>
    </w:p>
    <w:p>
      <w:pPr>
        <w:spacing w:after="0" w:line="151" w:lineRule="exact"/>
        <w:rPr>
          <w:rFonts w:ascii="Times New Roman" w:cs="Times New Roman" w:eastAsia="Times New Roman" w:hAnsi="Times New Roman"/>
          <w:sz w:val="20"/>
          <w:szCs w:val="20"/>
          <w:color w:val="auto"/>
        </w:rPr>
      </w:pPr>
    </w:p>
    <w:p>
      <w:pPr>
        <w:ind w:left="1300" w:hanging="320"/>
        <w:spacing w:after="0" w:line="301" w:lineRule="auto"/>
        <w:tabs>
          <w:tab w:leader="none" w:pos="129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“Qualifying Termination” </w:t>
      </w:r>
      <w:r>
        <w:rPr>
          <w:rFonts w:ascii="Times New Roman" w:cs="Times New Roman" w:eastAsia="Times New Roman" w:hAnsi="Times New Roman"/>
          <w:sz w:val="20"/>
          <w:szCs w:val="20"/>
          <w:color w:val="auto"/>
        </w:rPr>
        <w:t>shall mean a termination of the Executive’s employment by the Company without Cause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resignation by the Executive for Good Reason.</w:t>
      </w:r>
    </w:p>
    <w:p>
      <w:pPr>
        <w:spacing w:after="0" w:line="138" w:lineRule="exact"/>
        <w:rPr>
          <w:rFonts w:ascii="Times New Roman" w:cs="Times New Roman" w:eastAsia="Times New Roman" w:hAnsi="Times New Roman"/>
          <w:sz w:val="20"/>
          <w:szCs w:val="20"/>
          <w:color w:val="auto"/>
        </w:rPr>
      </w:pPr>
    </w:p>
    <w:p>
      <w:pPr>
        <w:jc w:val="both"/>
        <w:ind w:left="1300" w:hanging="320"/>
        <w:spacing w:after="0" w:line="315" w:lineRule="auto"/>
        <w:tabs>
          <w:tab w:leader="none" w:pos="129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“Restricted Period” </w:t>
      </w:r>
      <w:r>
        <w:rPr>
          <w:rFonts w:ascii="Times New Roman" w:cs="Times New Roman" w:eastAsia="Times New Roman" w:hAnsi="Times New Roman"/>
          <w:sz w:val="19"/>
          <w:szCs w:val="19"/>
          <w:color w:val="auto"/>
        </w:rPr>
        <w:t>shall mean the period of the Executive’s employment with the Company and a period of twelve (12)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consecutive months immediately following the termination of the Executive’s employment with the Company for any reason.</w:t>
      </w:r>
    </w:p>
    <w:p>
      <w:pPr>
        <w:spacing w:after="0" w:line="142" w:lineRule="exact"/>
        <w:rPr>
          <w:rFonts w:ascii="Times New Roman" w:cs="Times New Roman" w:eastAsia="Times New Roman" w:hAnsi="Times New Roman"/>
          <w:sz w:val="19"/>
          <w:szCs w:val="19"/>
          <w:color w:val="auto"/>
        </w:rPr>
      </w:pPr>
    </w:p>
    <w:p>
      <w:pPr>
        <w:ind w:left="1300" w:hanging="320"/>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“Section 409A” </w:t>
      </w:r>
      <w:r>
        <w:rPr>
          <w:rFonts w:ascii="Times New Roman" w:cs="Times New Roman" w:eastAsia="Times New Roman" w:hAnsi="Times New Roman"/>
          <w:sz w:val="20"/>
          <w:szCs w:val="20"/>
          <w:color w:val="auto"/>
        </w:rPr>
        <w:t>shall mean Section 409A of the Code.</w:t>
      </w:r>
    </w:p>
    <w:p>
      <w:pPr>
        <w:spacing w:after="0" w:line="229" w:lineRule="exact"/>
        <w:rPr>
          <w:rFonts w:ascii="Times New Roman" w:cs="Times New Roman" w:eastAsia="Times New Roman" w:hAnsi="Times New Roman"/>
          <w:sz w:val="20"/>
          <w:szCs w:val="20"/>
          <w:color w:val="auto"/>
        </w:rPr>
      </w:pPr>
    </w:p>
    <w:p>
      <w:pPr>
        <w:jc w:val="both"/>
        <w:ind w:left="1300" w:hanging="320"/>
        <w:spacing w:after="0" w:line="277" w:lineRule="auto"/>
        <w:tabs>
          <w:tab w:leader="none" w:pos="128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“Specified Employee” </w:t>
      </w:r>
      <w:r>
        <w:rPr>
          <w:rFonts w:ascii="Times New Roman" w:cs="Times New Roman" w:eastAsia="Times New Roman" w:hAnsi="Times New Roman"/>
          <w:sz w:val="20"/>
          <w:szCs w:val="20"/>
          <w:color w:val="auto"/>
        </w:rPr>
        <w:t>shall mean a person who is, as of the date of the person’s termination of employment, a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within the meaning of Section 409A, taking into account the elections made and procedures established by the Company.</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Number and Gender</w:t>
      </w:r>
      <w:r>
        <w:rPr>
          <w:rFonts w:ascii="Times New Roman" w:cs="Times New Roman" w:eastAsia="Times New Roman" w:hAnsi="Times New Roman"/>
          <w:sz w:val="20"/>
          <w:szCs w:val="20"/>
          <w:color w:val="auto"/>
        </w:rPr>
        <w:t>. Wherever appropriate herein, a word used in the singular shall be considered to include the plural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plural to include the singular. The masculine gender, where appearing in this Plan, shall be deemed to include the feminine gender.</w:t>
      </w:r>
    </w:p>
    <w:p>
      <w:pPr>
        <w:spacing w:after="0" w:line="165" w:lineRule="exact"/>
        <w:rPr>
          <w:sz w:val="20"/>
          <w:szCs w:val="20"/>
          <w:color w:val="auto"/>
        </w:rPr>
      </w:pPr>
    </w:p>
    <w:p>
      <w:pPr>
        <w:ind w:right="5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The headings of Articles and Sections herein are included solely for convenience and if there is any conflict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such headings and the text of this Plan, the text shall control.</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IV. SEVERANCE BENEFITS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b w:val="1"/>
          <w:bCs w:val="1"/>
          <w:u w:val="single" w:color="auto"/>
          <w:color w:val="auto"/>
        </w:rPr>
        <w:t>Payments and Benefits upon a Qualifying Termination (Unrelated to a Change of Control)</w:t>
      </w:r>
      <w:r>
        <w:rPr>
          <w:rFonts w:ascii="Times New Roman" w:cs="Times New Roman" w:eastAsia="Times New Roman" w:hAnsi="Times New Roman"/>
          <w:sz w:val="20"/>
          <w:szCs w:val="20"/>
          <w:color w:val="auto"/>
        </w:rPr>
        <w:t>. Subject to the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the Executive’s continued compliance with the obligations under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hereof, upon an Executive’s Qualifying Termination that does not occur within the Protection Period:</w:t>
      </w:r>
    </w:p>
    <w:p>
      <w:pPr>
        <w:spacing w:after="0" w:line="186" w:lineRule="exact"/>
        <w:rPr>
          <w:sz w:val="20"/>
          <w:szCs w:val="20"/>
          <w:color w:val="auto"/>
        </w:rPr>
      </w:pPr>
    </w:p>
    <w:p>
      <w:pPr>
        <w:jc w:val="both"/>
        <w:ind w:left="1300" w:right="20" w:hanging="320"/>
        <w:spacing w:after="0" w:line="268" w:lineRule="auto"/>
        <w:tabs>
          <w:tab w:leader="none" w:pos="12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or provide to the Executive the Executive’s unpaid base salary through the date of termination, any unreimbursed business expenses, and any amount arising from the Executive’s participation in, or benefits under, any employee benefit plans, programs, or arrangements, which amounts shall be payable in accordance with the</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requirements of applicable law and the terms and conditions of such employee benefit plans, programs or arrangements;</w:t>
      </w:r>
    </w:p>
    <w:p>
      <w:pPr>
        <w:spacing w:after="0" w:line="229"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Executive, in a single lump sum payment on the Payment Date, an amount in cash equal to</w:t>
      </w:r>
    </w:p>
    <w:p>
      <w:pPr>
        <w:spacing w:after="0" w:line="28" w:lineRule="exact"/>
        <w:rPr>
          <w:rFonts w:ascii="Times New Roman" w:cs="Times New Roman" w:eastAsia="Times New Roman" w:hAnsi="Times New Roman"/>
          <w:sz w:val="20"/>
          <w:szCs w:val="20"/>
          <w:color w:val="auto"/>
        </w:rPr>
      </w:pPr>
    </w:p>
    <w:p>
      <w:pPr>
        <w:ind w:left="130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xml:space="preserve">(x) the Executive’s annualized base salary, as in effect immediately prior to the Qualifying Termination (or immediately prior to any event constituting Good Reason, if applicable),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(y) the Applicable Factor that applies to the Executive.</w:t>
      </w:r>
    </w:p>
    <w:p>
      <w:pPr>
        <w:spacing w:after="0" w:line="139" w:lineRule="exact"/>
        <w:rPr>
          <w:rFonts w:ascii="Times New Roman" w:cs="Times New Roman" w:eastAsia="Times New Roman" w:hAnsi="Times New Roman"/>
          <w:sz w:val="20"/>
          <w:szCs w:val="20"/>
          <w:color w:val="auto"/>
        </w:rPr>
      </w:pPr>
    </w:p>
    <w:p>
      <w:pPr>
        <w:jc w:val="both"/>
        <w:ind w:left="1300" w:hanging="320"/>
        <w:spacing w:after="0" w:line="268" w:lineRule="auto"/>
        <w:tabs>
          <w:tab w:leader="none" w:pos="129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Executive, in a single lump sum payment on the Payment Date, an amount in cash equal to the Executive’s target annual bonus for the year that includes the date of termination, as in effect immediately prior to the Qualifying Termination (or immediately prior to any event constituting Good Reason, if applicable), pro-rated to reflect the number of days that the Executive was employed by the Company during such calendar year;</w:t>
      </w:r>
    </w:p>
    <w:p>
      <w:pPr>
        <w:spacing w:after="0" w:line="187"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is covered by the Company’s medical insurance plan on the date upon which the Qualifying Termination occurs, the Company shall pay to the Executive, in a single lump sum payment on the Payment Date, an amount in cash equal to the product of (x) the full annual premium that the Executive would have to pay for continued healthcare coverage for the Executive and, as applicable, the Executive’s dependents, in the Company’s medical insurance plan under COBRA at the rate as in effect immediately prior to the Qualifying Termination and (y) the Applicable Factor that applies to the Executive; and</w:t>
      </w:r>
    </w:p>
    <w:p>
      <w:pPr>
        <w:spacing w:after="0" w:line="194"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9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make available to the Executive outplacement services as provided by Company-approved vendor for the duration of the Outplacement Period.</w:t>
      </w:r>
    </w:p>
    <w:p>
      <w:pPr>
        <w:spacing w:after="0" w:line="15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b w:val="1"/>
          <w:bCs w:val="1"/>
          <w:u w:val="single" w:color="auto"/>
          <w:color w:val="auto"/>
        </w:rPr>
        <w:t>Severance Benefits upon a Qualifying Termination (Related to a Change of Control)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further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the Executive’s continued compliance with the obligations under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hereof, upon an Executive’s Qualifying Termination that occurs within the Protection Period:</w:t>
      </w:r>
    </w:p>
    <w:p>
      <w:pPr>
        <w:spacing w:after="0" w:line="166" w:lineRule="exact"/>
        <w:rPr>
          <w:sz w:val="20"/>
          <w:szCs w:val="20"/>
          <w:color w:val="auto"/>
        </w:rPr>
      </w:pPr>
    </w:p>
    <w:p>
      <w:pPr>
        <w:jc w:val="both"/>
        <w:ind w:left="1300" w:hanging="320"/>
        <w:spacing w:after="0" w:line="268" w:lineRule="auto"/>
        <w:tabs>
          <w:tab w:leader="none" w:pos="129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or provide to the Executive the Executive’s unpaid base salary through the date of termination, any unreimbursed business expenses, and any amount arising from the Executive’s participation in, or benefits under, any employee benefit plans, programs, or arrangements, which amounts shall be payable in accordance with the requirements of applicable law and the terms and conditions of such employee benefit plans, programs or arrangements;</w:t>
      </w:r>
    </w:p>
    <w:p>
      <w:pPr>
        <w:spacing w:after="0" w:line="18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Executive, in a single lump sum payment on the Payment Date, an amount in cash equal to</w:t>
      </w:r>
    </w:p>
    <w:p>
      <w:pPr>
        <w:spacing w:after="0" w:line="28" w:lineRule="exact"/>
        <w:rPr>
          <w:rFonts w:ascii="Times New Roman" w:cs="Times New Roman" w:eastAsia="Times New Roman" w:hAnsi="Times New Roman"/>
          <w:sz w:val="20"/>
          <w:szCs w:val="20"/>
          <w:color w:val="auto"/>
        </w:rPr>
      </w:pPr>
    </w:p>
    <w:p>
      <w:pPr>
        <w:jc w:val="both"/>
        <w:ind w:left="1300" w:firstLine="4"/>
        <w:spacing w:after="0" w:line="267" w:lineRule="auto"/>
        <w:tabs>
          <w:tab w:leader="none" w:pos="158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Executive’s annualized base salary as in effect immediately prior to the Qualifying Termination (or immediately prior to any event constituting Good Reason, if applicable),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(y) the Applicable CIC Factor that applies to the Executive;</w:t>
      </w:r>
    </w:p>
    <w:p>
      <w:pPr>
        <w:spacing w:after="0" w:line="17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Executive, in a single lump sum payment on the Payment Date, an amount in cash equal to</w:t>
      </w:r>
    </w:p>
    <w:p>
      <w:pPr>
        <w:spacing w:after="0" w:line="28"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target annual bonus for the year that</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3"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 xml:space="preserve">includes the date of termination as in effect immediately prior to the Qualifying Termination (or immediately prior to any event constituting Good Reason, if applicable),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(y) the Applicable CIC Factor that applies to the Executive;</w:t>
      </w:r>
    </w:p>
    <w:p>
      <w:pPr>
        <w:spacing w:after="0" w:line="173" w:lineRule="exact"/>
        <w:rPr>
          <w:sz w:val="20"/>
          <w:szCs w:val="20"/>
          <w:color w:val="auto"/>
        </w:rPr>
      </w:pPr>
    </w:p>
    <w:p>
      <w:pPr>
        <w:jc w:val="both"/>
        <w:ind w:left="1300" w:hanging="320"/>
        <w:spacing w:after="0" w:line="281" w:lineRule="auto"/>
        <w:tabs>
          <w:tab w:leader="none" w:pos="128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Executive is covered by the Company’s medical insurance plan on the date upon which the Qualifying Termination occurs, the Company shall pay to the Executive, in a single lump sum payment on the Payment Date, an amount in cash equal to the product of (x) the full annual premium that the Executive would have to pay for continued healthcare coverage for Executive and, as applicable, Executive’s dependents, in the Company’s medical insurance plan under COBRA at the rate as in effect immediately prior to the Qualifying Termination and (y) the Applicable CIC Factor that applies to the Executive;</w:t>
      </w:r>
    </w:p>
    <w:p>
      <w:pPr>
        <w:spacing w:after="0" w:line="165" w:lineRule="exact"/>
        <w:rPr>
          <w:rFonts w:ascii="Times New Roman" w:cs="Times New Roman" w:eastAsia="Times New Roman" w:hAnsi="Times New Roman"/>
          <w:sz w:val="19"/>
          <w:szCs w:val="19"/>
          <w:color w:val="auto"/>
        </w:rPr>
      </w:pPr>
    </w:p>
    <w:p>
      <w:pPr>
        <w:ind w:left="1300" w:right="20" w:hanging="320"/>
        <w:spacing w:after="0" w:line="297" w:lineRule="auto"/>
        <w:tabs>
          <w:tab w:leader="none" w:pos="129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make available to the Executive outplacement services as provided by Company-approved vendor for the duration of the Outplacement Period; and</w:t>
      </w:r>
    </w:p>
    <w:p>
      <w:pPr>
        <w:spacing w:after="0" w:line="146" w:lineRule="exact"/>
        <w:rPr>
          <w:rFonts w:ascii="Times New Roman" w:cs="Times New Roman" w:eastAsia="Times New Roman" w:hAnsi="Times New Roman"/>
          <w:sz w:val="20"/>
          <w:szCs w:val="20"/>
          <w:color w:val="auto"/>
        </w:rPr>
      </w:pPr>
    </w:p>
    <w:p>
      <w:pPr>
        <w:ind w:left="1300" w:hanging="320"/>
        <w:spacing w:after="0" w:line="283" w:lineRule="auto"/>
        <w:tabs>
          <w:tab w:leader="none" w:pos="129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outstanding unvested award under the Equity Plan and held by the Executive shall vest in full as of the date of termination.</w:t>
      </w:r>
    </w:p>
    <w:p>
      <w:pPr>
        <w:spacing w:after="0" w:line="16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4.3 </w:t>
      </w:r>
      <w:r>
        <w:rPr>
          <w:rFonts w:ascii="Times New Roman" w:cs="Times New Roman" w:eastAsia="Times New Roman" w:hAnsi="Times New Roman"/>
          <w:sz w:val="19"/>
          <w:szCs w:val="19"/>
          <w:b w:val="1"/>
          <w:bCs w:val="1"/>
          <w:u w:val="single" w:color="auto"/>
          <w:color w:val="auto"/>
        </w:rPr>
        <w:t>Release and Full Settlement; Payment Delay; Repayment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provision of this Plan to the contrary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notwithstanding, the payment of any amounts or provision of any benefits under Sections 4.1(b) through 4.1(e) and Sections 4.2(b) through 4.2(e) shall be subject to the Executive’s execution, within forty five (45) days following receipt (or such shorter period as set forth in such release), of a waiver and general release of claims in substantially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xml:space="preserve">”), and such Release becoming effective and irrevocable in accordance with its terms within sixty (60) days following the date of termination. Except as set forth in the following sentence, any payments pursuant to Sections 4.1(b) through 4.1(d) and Sections 4.2(b) through 4.2(d) hereof that would otherwise be payable in the first sixty (60) days following the date of termination shall be withheld and become payable in a lump sum on the date that is sixty (60) days following the date of termination. However, if the Executive is a Specified Employee, any payments hereunder that constitute a “deferral of compensation” within the meaning of Section 409A and to which the Executive would otherwise be entitled during the first six months following the date of such Executive’s termination shall be accumulated and paid to the Executive on the date that is six months following the date of termination. Furthermore, the payment of any amounts or provisions of any benefits under Sections 4.1(b) through 4.1(e) and Sections 4.2(b) through 4.2(e) shall be subject to the Executive’s continued compliance with the Executive’s obligations under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hereof, and, if the event of any breach of such obligations by the Executive, the Executive agrees to promptly repay the Company the gross amount or value of any payments or benefits provided under the applicable provisions of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b w:val="1"/>
          <w:bCs w:val="1"/>
          <w:u w:val="single" w:color="auto"/>
          <w:color w:val="auto"/>
        </w:rPr>
        <w:t>Parachute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that the Company determines that any payment or distribution to an Executive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 connection with a Change of Control, whether paid or payable under this Plan or by reason of any other agreement, policy, plan, program or arrangement (the “</w:t>
      </w:r>
      <w:r>
        <w:rPr>
          <w:rFonts w:ascii="Times New Roman" w:cs="Times New Roman" w:eastAsia="Times New Roman" w:hAnsi="Times New Roman"/>
          <w:sz w:val="20"/>
          <w:szCs w:val="20"/>
          <w:b w:val="1"/>
          <w:bCs w:val="1"/>
          <w:color w:val="auto"/>
        </w:rPr>
        <w:t>Parachute Payments</w:t>
      </w:r>
      <w:r>
        <w:rPr>
          <w:rFonts w:ascii="Times New Roman" w:cs="Times New Roman" w:eastAsia="Times New Roman" w:hAnsi="Times New Roman"/>
          <w:sz w:val="20"/>
          <w:szCs w:val="20"/>
          <w:color w:val="auto"/>
        </w:rPr>
        <w:t>”), including without limitation, any outstanding award or right under the Equity Plan, would be subject to the excise tax imposed by Section 4999 of the Code (or any successor provision thereto) or to any similar tax imposed by state or local law, or any interest or penalties with respect to such tax (such tax or taxes, together with any such interest and penalties, being hereafter collectively referred to as the “</w:t>
      </w:r>
      <w:r>
        <w:rPr>
          <w:rFonts w:ascii="Times New Roman" w:cs="Times New Roman" w:eastAsia="Times New Roman" w:hAnsi="Times New Roman"/>
          <w:sz w:val="20"/>
          <w:szCs w:val="20"/>
          <w:b w:val="1"/>
          <w:bCs w:val="1"/>
          <w:color w:val="auto"/>
        </w:rPr>
        <w:t>Excise Tax</w:t>
      </w:r>
      <w:r>
        <w:rPr>
          <w:rFonts w:ascii="Times New Roman" w:cs="Times New Roman" w:eastAsia="Times New Roman" w:hAnsi="Times New Roman"/>
          <w:sz w:val="20"/>
          <w:szCs w:val="20"/>
          <w:color w:val="auto"/>
        </w:rPr>
        <w:t>”), and the Executive would receive a greater net after-tax amount (taking into account all applicable taxes payable by the Executive, including any excise tax under Section 4999 of</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Code) by applying the reduction contained in this Section 4.4, then the payments and benefits provided to the Executive under this Plan shall be reduced (but not below zero) to the maximum amount which may be paid without the Executive becoming subject to such an excise tax under Section 4999 of the Code (such reduced payments to be referred to as the “</w:t>
      </w:r>
      <w:r>
        <w:rPr>
          <w:rFonts w:ascii="Times New Roman" w:cs="Times New Roman" w:eastAsia="Times New Roman" w:hAnsi="Times New Roman"/>
          <w:sz w:val="20"/>
          <w:szCs w:val="20"/>
          <w:b w:val="1"/>
          <w:bCs w:val="1"/>
          <w:color w:val="auto"/>
        </w:rPr>
        <w:t>Payment Cap</w:t>
      </w:r>
      <w:r>
        <w:rPr>
          <w:rFonts w:ascii="Times New Roman" w:cs="Times New Roman" w:eastAsia="Times New Roman" w:hAnsi="Times New Roman"/>
          <w:sz w:val="20"/>
          <w:szCs w:val="20"/>
          <w:color w:val="auto"/>
        </w:rPr>
        <w:t>”). In the event that an Executive is subject to the Payment Cap, the Company shall reduce payments to the Executive under this Plan in reverse chronological order such that the last payments to be made to the Executive will be reduced first until the Payment Cap is reached. The tax and benefit calculations contemplated by this paragraph shall be performed by a public accounting firm or other qualified independent tax counsel that is selected by the Company as of the date immediately prior to the Change of Control (the “</w:t>
      </w:r>
      <w:r>
        <w:rPr>
          <w:rFonts w:ascii="Times New Roman" w:cs="Times New Roman" w:eastAsia="Times New Roman" w:hAnsi="Times New Roman"/>
          <w:sz w:val="20"/>
          <w:szCs w:val="20"/>
          <w:b w:val="1"/>
          <w:bCs w:val="1"/>
          <w:color w:val="auto"/>
        </w:rPr>
        <w:t>Determining Party</w:t>
      </w:r>
      <w:r>
        <w:rPr>
          <w:rFonts w:ascii="Times New Roman" w:cs="Times New Roman" w:eastAsia="Times New Roman" w:hAnsi="Times New Roman"/>
          <w:sz w:val="20"/>
          <w:szCs w:val="20"/>
          <w:color w:val="auto"/>
        </w:rPr>
        <w:t>”) and reasonably acceptable to the Executive. The Determining Party shall provide detailed supporting calculations both to the Company and the Executive within fifteen (15) business days of the receipt of notice from the Company or the Executive that there has been a Payment, or such earlier time as is requested by the Company (collectively, the “</w:t>
      </w:r>
      <w:r>
        <w:rPr>
          <w:rFonts w:ascii="Times New Roman" w:cs="Times New Roman" w:eastAsia="Times New Roman" w:hAnsi="Times New Roman"/>
          <w:sz w:val="20"/>
          <w:szCs w:val="20"/>
          <w:b w:val="1"/>
          <w:bCs w:val="1"/>
          <w:color w:val="auto"/>
        </w:rPr>
        <w:t>Determination</w:t>
      </w:r>
      <w:r>
        <w:rPr>
          <w:rFonts w:ascii="Times New Roman" w:cs="Times New Roman" w:eastAsia="Times New Roman" w:hAnsi="Times New Roman"/>
          <w:sz w:val="20"/>
          <w:szCs w:val="20"/>
          <w:color w:val="auto"/>
        </w:rPr>
        <w:t>”). In the event that the Determining Party is serving as accountant or auditor for the individual, entity or group effecting the Change of Control, an independent accounting firm selected by the Company may be appointed to make the determinations required hereunder (which accounting firm shall then be referred to as the Determining Party hereunder). All fees and expenses of the Determining Party shall be borne solely by the Company. The Determination by the Determining Party shall be final, binding and conclusive upon the Company and the Executive.</w:t>
      </w:r>
    </w:p>
    <w:p>
      <w:pPr>
        <w:spacing w:after="0" w:line="19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9"/>
          <w:szCs w:val="19"/>
          <w:b w:val="1"/>
          <w:bCs w:val="1"/>
          <w:color w:val="auto"/>
        </w:rPr>
        <w:t xml:space="preserve">4.5 </w:t>
      </w:r>
      <w:r>
        <w:rPr>
          <w:rFonts w:ascii="Times New Roman" w:cs="Times New Roman" w:eastAsia="Times New Roman" w:hAnsi="Times New Roman"/>
          <w:sz w:val="19"/>
          <w:szCs w:val="19"/>
          <w:b w:val="1"/>
          <w:bCs w:val="1"/>
          <w:u w:val="single" w:color="auto"/>
          <w:color w:val="auto"/>
        </w:rPr>
        <w:t>Coordination with Certain Other Agreements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benefits under and participation in this Plan are intended to supersede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replace the severance and separation benefits to which an Executive may be entitled under any other plan, policy, agreement, or arrangement. By executing a Participation Agreement with the Company to participate in this Plan, an Executive shall waive any right to severance or separation benefits under any other plan, policy, agreement or arrangement of the Company. Furthermore, notwithstanding any provisions of the Equity Plan, with respect to any equity awards that have been issued or may hereafter be issued to an Executive under the Equity Plan, in the event of a Qualifying Termination that occurs within the Protection Period, Section 4.2(f) of this Plan shall supersede and replace any provisions in the Equity Plan that provide for less than full vesting of outstanding awards in connection with such termination.</w:t>
      </w:r>
    </w:p>
    <w:p>
      <w:pPr>
        <w:spacing w:after="0" w:line="16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4.6 </w:t>
      </w:r>
      <w:r>
        <w:rPr>
          <w:rFonts w:ascii="Times New Roman" w:cs="Times New Roman" w:eastAsia="Times New Roman" w:hAnsi="Times New Roman"/>
          <w:sz w:val="20"/>
          <w:szCs w:val="20"/>
          <w:b w:val="1"/>
          <w:bCs w:val="1"/>
          <w:u w:val="single" w:color="auto"/>
          <w:color w:val="auto"/>
        </w:rPr>
        <w:t>No Mitigation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Executive shall not be required to mitigate the amount of any payment or benefit provided for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seeking other employment or otherwise, nor shall the amount of any payment or benefit provided for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be reduced by any compensation or benefit earned by the Executive as the result of employment by another employer.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V. RESTRICTIVE COVENANTS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b w:val="1"/>
          <w:bCs w:val="1"/>
          <w:u w:val="single" w:color="auto"/>
          <w:color w:val="auto"/>
        </w:rPr>
        <w:t>Non-Competition, Non-Solicitation, Confidentiality and Non-Disparagement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executing a Participation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each Executive recognizes that the Company has employed the Executive, in large part, to create, promote, and expand the goodwill of the Company by, among other things, building enduring personal relationships with the Company’s customers, learning the personal preferences of the Company’s customers, and positioning Company to maximize business through said relationships and acquired knowledge. In consideration of the payments and benefits that may be paid or provided to the Executive hereunder and to protect the trade secrets and confidential information of the Company that have been and will in the future be disclosed or entrusted to the Executive, the business goodwill of the Company or its affiliates, and the business opportunities that have</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and will in the future be disclosed or entrusted to the Executive by the Company or its affiliates, by executing a Participation Agreement, the Company and the Executive agree to the provisions of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980" w:firstLine="648"/>
        <w:spacing w:after="0" w:line="260" w:lineRule="auto"/>
        <w:tabs>
          <w:tab w:leader="none" w:pos="194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During the Restricted Period, the Executive shall not, without the prior written consent of the Company, either for the Executive or on behalf of any person, firm, corporation or any other operation or entity, directly or indirectly: own, control, or participate in the ownership or control of, be employed by, or render services to or on behalf of, any business that: (i) is a similar daytime-only restaurant concept offering breakfast, brunch, and lunch; and (ii) operates in any city, county, or state where the Company has restaurant locations as of the date the Executive’s employment with the Company terminates (a “</w:t>
      </w:r>
      <w:r>
        <w:rPr>
          <w:rFonts w:ascii="Times New Roman" w:cs="Times New Roman" w:eastAsia="Times New Roman" w:hAnsi="Times New Roman"/>
          <w:sz w:val="20"/>
          <w:szCs w:val="20"/>
          <w:u w:val="single" w:color="auto"/>
          <w:color w:val="auto"/>
        </w:rPr>
        <w:t>Competing Business</w:t>
      </w:r>
      <w:r>
        <w:rPr>
          <w:rFonts w:ascii="Times New Roman" w:cs="Times New Roman" w:eastAsia="Times New Roman" w:hAnsi="Times New Roman"/>
          <w:sz w:val="20"/>
          <w:szCs w:val="20"/>
          <w:color w:val="auto"/>
        </w:rPr>
        <w:t>”); provided that, (x) Executive may be employed by or render services to a Competing Business as long as Executive’s services do not involve (a) the types of services that Executive provided to the Company or (b) services that would involve the use or disclosure of Confidential Information and (y) Executive may own, directly or indirectly, solely as an investment, less than two percent (2%) of the publicly traded securities of any corporation, provided that such ownership is passive in nature and that Executive is not a controlling person of, or a member of a group which controls, such corporation.</w:t>
      </w:r>
    </w:p>
    <w:p>
      <w:pPr>
        <w:spacing w:after="0" w:line="188" w:lineRule="exact"/>
        <w:rPr>
          <w:rFonts w:ascii="Times New Roman" w:cs="Times New Roman" w:eastAsia="Times New Roman" w:hAnsi="Times New Roman"/>
          <w:sz w:val="20"/>
          <w:szCs w:val="20"/>
          <w:color w:val="auto"/>
        </w:rPr>
      </w:pPr>
    </w:p>
    <w:p>
      <w:pPr>
        <w:jc w:val="both"/>
        <w:ind w:left="980" w:firstLine="648"/>
        <w:spacing w:after="0" w:line="261" w:lineRule="auto"/>
        <w:tabs>
          <w:tab w:leader="none" w:pos="19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w:t>
      </w:r>
      <w:r>
        <w:rPr>
          <w:rFonts w:ascii="Times New Roman" w:cs="Times New Roman" w:eastAsia="Times New Roman" w:hAnsi="Times New Roman"/>
          <w:sz w:val="20"/>
          <w:szCs w:val="20"/>
          <w:color w:val="auto"/>
        </w:rPr>
        <w:t>. During the Restricted Period, the Executive shall not (i) use Confidential Information to solicit, divert, or take away, or attempt to solicit, divert, or take away, from the Company, or otherwise interfere with the Company’s business relationship with, any person or entity: (x) who is, or was within the last twelve (12) months of the Executive’s employment with the Company, a customer, supplier, or other party having material business relations with the Company and</w:t>
      </w:r>
    </w:p>
    <w:p>
      <w:pPr>
        <w:jc w:val="both"/>
        <w:ind w:left="980"/>
        <w:spacing w:after="0" w:line="264" w:lineRule="auto"/>
        <w:tabs>
          <w:tab w:leader="none" w:pos="126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the Executive had business contact with or obtained Confidential Information pertaining to as a result of the Executive’s association with the Company during the last twelve (12) months of the Executive’s employment with the Company or (ii) solicit, divert, or take away from, or attempt to solicit, divert, or take away from, the Company, or otherwise interfere with the Company’s employment or consulting relationship with, any person who is, or was within the last twelve (12) months of the Executive’s employment with the Company, employed by or engaged as a consultant to the Company.</w:t>
      </w:r>
    </w:p>
    <w:p>
      <w:pPr>
        <w:spacing w:after="0" w:line="177" w:lineRule="exact"/>
        <w:rPr>
          <w:rFonts w:ascii="Times New Roman" w:cs="Times New Roman" w:eastAsia="Times New Roman" w:hAnsi="Times New Roman"/>
          <w:sz w:val="20"/>
          <w:szCs w:val="20"/>
          <w:color w:val="auto"/>
        </w:rPr>
      </w:pPr>
    </w:p>
    <w:p>
      <w:pPr>
        <w:jc w:val="both"/>
        <w:ind w:left="980" w:firstLine="648"/>
        <w:spacing w:after="0" w:line="261" w:lineRule="auto"/>
        <w:tabs>
          <w:tab w:leader="none" w:pos="194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w:t>
      </w:r>
      <w:r>
        <w:rPr>
          <w:rFonts w:ascii="Times New Roman" w:cs="Times New Roman" w:eastAsia="Times New Roman" w:hAnsi="Times New Roman"/>
          <w:sz w:val="20"/>
          <w:szCs w:val="20"/>
          <w:color w:val="auto"/>
        </w:rPr>
        <w:t>. The Executive acknowledges that during the course of employment with the Company, the Executive will have access to information of a proprietary, confidential, and/or trade secret nature which has great value to the Company and which constitutes a substantial basis and foundation upon which the business of the Company is based.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any information, written or unwritten, relating to the Company’s business, which is not generally known, and which gives it a competitive advantage over others, and includes, but is not limited to, business methods, pricing, supplier lists, customer lists, customer service strategies, and all other customer information, as well as information about processes, developments, ingredients, recipes, research and marketing. Confidential Information does not include information that is generally available to and known by the public at the time of disclosure to the Executive, provided that such disclosure is through no direct or indirect fault of the Executive or persons acting on the Executive’s behalf. The Executive shall treat all Confidential Information received, directly or indirectly, from the Company as strictly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3"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confidential. The Executive shall not, without the prior written consent of the President or CEO of the Company, whether during the Executive’s employment or after the Executive’s employment with the Company, use, disclose, or make use of any of Confidential Information of any type to anyone, except as required by the Executive’s duties to the Company and for the benefit of the Company. On ceasing employment by or with the Company, the Executive agrees to promptly return to the Company all Company property including, without limitation, all things and documents containing Confidential Information, including all copies thereof in the Executive’s possession, whether being made by the Executive or others. The Executive recognizes and acknowledges that all Confidential Information shall remain the property of the Company and that the Executive shall not acquire any right, title or interest in or over the use of Confidential Information in any manner whatsoever.</w:t>
      </w:r>
    </w:p>
    <w:p>
      <w:pPr>
        <w:spacing w:after="0" w:line="200" w:lineRule="exact"/>
        <w:rPr>
          <w:sz w:val="20"/>
          <w:szCs w:val="20"/>
          <w:color w:val="auto"/>
        </w:rPr>
      </w:pPr>
    </w:p>
    <w:p>
      <w:pPr>
        <w:jc w:val="both"/>
        <w:ind w:left="980" w:firstLine="648"/>
        <w:spacing w:after="0" w:line="268" w:lineRule="auto"/>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During and at all times following the Executive’s employment with the Company, the Executive shall not make any statements, orally or in writing, criticizing or disparaging the Company, its operations or its reputation.</w:t>
      </w:r>
    </w:p>
    <w:p>
      <w:pPr>
        <w:spacing w:after="0" w:line="18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5.2 </w:t>
      </w:r>
      <w:r>
        <w:rPr>
          <w:rFonts w:ascii="Times New Roman" w:cs="Times New Roman" w:eastAsia="Times New Roman" w:hAnsi="Times New Roman"/>
          <w:sz w:val="19"/>
          <w:szCs w:val="19"/>
          <w:b w:val="1"/>
          <w:bCs w:val="1"/>
          <w:u w:val="single" w:color="auto"/>
          <w:color w:val="auto"/>
        </w:rPr>
        <w:t>Permitted Disclosures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in this Plan shall be construed to prohibit, prevent, or otherwise restrict the Executive from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reporting any good faith allegation of unlawful employment practices to any appropriate federal, state, or local government agency enforcing discrimination laws; reporting any good faith allegation of criminal conduct to any appropriate federal, state, or local official; participating in a proceeding with any appropriate federal, state, or local government agency enforcing discrimination laws; making any truthful statements or disclosures required by law, regulation, or legal process; or requesting or receiving confidential legal advice. Nothing in this Plan shall be construed to prevent disclosure of information pursuant to the valid order of a court of competent jurisdiction or an authorized government agency, provided that the disclosure does not exceed the extent of disclosure required by such law, regulation, or order. The Executive shall, to the extent legally permitted, promptly provide written notice of any such order to the Company. Pursuant to the Defend Trade Secrets Act of 2016, no individual will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If the Executive files a lawsuit for retaliation for reporting a suspected violation of law, the Executive may disclose certain trade secrets to the Executive’s attorney and use the trade secret information in the court proceeding if the Executive: (a) files any document containing the trade secret under seal; and (b) does not disclose the trade secret, except pursuant to court order.</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b w:val="1"/>
          <w:bCs w:val="1"/>
          <w:u w:val="single" w:color="auto"/>
          <w:color w:val="auto"/>
        </w:rPr>
        <w:t>Reasonableness of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executing a Participation Agreement, each Executive acknowledges that the covenants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are reasonably necessary to protect the Company’s customer relationships and other valuable business interests. Section 5.1 shall supersede and replace any covenants concerning non-competition, non-solicitation, non-disclosure of confidential information and non-disparagement applicable to an Executive (as of immediately prior to such Executive’s execution of a Participation Agreement) pursuant to any other plan, agreement, or arrangement with the Company, including, but not limited to, any such restrictive covenants contained in any employment agreement, offer letter, the Equity Plan, or the First Watch Confidentiality, Non-Competition, and Non-Solicitation Agreement.</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b w:val="1"/>
          <w:bCs w:val="1"/>
          <w:u w:val="single" w:color="auto"/>
          <w:color w:val="auto"/>
        </w:rPr>
        <w:t>Remedies</w:t>
      </w:r>
      <w:r>
        <w:rPr>
          <w:rFonts w:ascii="Times New Roman" w:cs="Times New Roman" w:eastAsia="Times New Roman" w:hAnsi="Times New Roman"/>
          <w:sz w:val="20"/>
          <w:szCs w:val="20"/>
          <w:color w:val="auto"/>
        </w:rPr>
        <w:t>. By executing a Participation Agreement, each Executive acknowledges that the services he or she is to render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its customers are unique in character, and the Executive’s obligations if breached will result in irreparable harm to the Company that cannot be reasonably or adequately compensated for in money damages. In the event of any breach of threatened breach of Section 5.1, the Company will be entitled to an injunction or other equitable relief to restrain such breach or threatened breach by the Executive and any persons acting in concert with the Executive. In addition, by executing a Participation Agreement, each Executive agrees that if an action is successfully brought to enforce Section 5.1 or to seek damages for its breach or threatened breach, the Executive will pay to the Company all reasonable costs and expenses incurred in seeking such relief, including attorneys’ fees and the Executive further agrees that any period of restriction or covenant herein stated shall not include any period of violation or a period of time required for litigation to enforce the restriction or covenant.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color w:val="auto"/>
        </w:rPr>
        <w:t>VI. GENERAL PROVISIONS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6.1 </w:t>
      </w:r>
      <w:r>
        <w:rPr>
          <w:rFonts w:ascii="Times New Roman" w:cs="Times New Roman" w:eastAsia="Times New Roman" w:hAnsi="Times New Roman"/>
          <w:sz w:val="20"/>
          <w:szCs w:val="20"/>
          <w:b w:val="1"/>
          <w:bCs w:val="1"/>
          <w:u w:val="single" w:color="auto"/>
          <w:color w:val="auto"/>
        </w:rPr>
        <w:t>Termination and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occurrence of a Change of Control, this Plan may be amended or terminated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majority of the Board of Directors of the Company. Following the occurrence of a Change of Control, this Plan may not be amended in any respect that adversely affects the rights of any Executive and may not be terminated until all obligations under this Plan have been satisfied.</w:t>
      </w:r>
    </w:p>
    <w:p>
      <w:pPr>
        <w:spacing w:after="0" w:line="16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6.2 </w:t>
      </w:r>
      <w:r>
        <w:rPr>
          <w:rFonts w:ascii="Times New Roman" w:cs="Times New Roman" w:eastAsia="Times New Roman" w:hAnsi="Times New Roman"/>
          <w:sz w:val="20"/>
          <w:szCs w:val="20"/>
          <w:b w:val="1"/>
          <w:bCs w:val="1"/>
          <w:u w:val="single" w:color="auto"/>
          <w:color w:val="auto"/>
        </w:rPr>
        <w:t>Funding; Cost of Plan</w:t>
      </w:r>
      <w:r>
        <w:rPr>
          <w:rFonts w:ascii="Times New Roman" w:cs="Times New Roman" w:eastAsia="Times New Roman" w:hAnsi="Times New Roman"/>
          <w:sz w:val="20"/>
          <w:szCs w:val="20"/>
          <w:color w:val="auto"/>
        </w:rPr>
        <w:t>. The benefits provided herein shall be unfunded and shall be provided from the Company’s general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No Executive shall have any rights to, or interest in, any assets of the Company that may be applied by the Company to the payment of amounts due hereunder.</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6.3 </w:t>
      </w:r>
      <w:r>
        <w:rPr>
          <w:rFonts w:ascii="Times New Roman" w:cs="Times New Roman" w:eastAsia="Times New Roman" w:hAnsi="Times New Roman"/>
          <w:sz w:val="20"/>
          <w:szCs w:val="20"/>
          <w:b w:val="1"/>
          <w:bCs w:val="1"/>
          <w:u w:val="single" w:color="auto"/>
          <w:color w:val="auto"/>
        </w:rPr>
        <w:t>Nonalienation;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shall be binding upon any successor of the Company by merger, consolidation,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acquisition, or similar transaction and shall inure to the benefit of any be enforceable by the Executives of the Company. Executives shall not have any right to pledge, hypothecate, anticipate, or assign benefits or rights under this Plan, except by will or the laws of descent and distribution. An Executive’s rights and interests hereunder shall inure to the benefit of and be enforceable by the Executive’s personal representative.</w:t>
      </w:r>
    </w:p>
    <w:p>
      <w:pPr>
        <w:spacing w:after="0" w:line="16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6.4 </w:t>
      </w:r>
      <w:r>
        <w:rPr>
          <w:rFonts w:ascii="Times New Roman" w:cs="Times New Roman" w:eastAsia="Times New Roman" w:hAnsi="Times New Roman"/>
          <w:sz w:val="20"/>
          <w:szCs w:val="20"/>
          <w:b w:val="1"/>
          <w:bCs w:val="1"/>
          <w:u w:val="single" w:color="auto"/>
          <w:color w:val="auto"/>
        </w:rPr>
        <w:t>No Contract of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adoption and maintenance of this Plan shall not be deemed to be a contract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between the Company and any person or to be consideration for the employment of any person. Nothing herein contained shall be deemed to (a) give any person the right to be retained in the employ of the Company, (b) restrict the right of the Company to discharge any person at any time, (c) give the Company the right to require any person to remain in the employ of the Company, or (d) restrict any person’s right to terminate the Executive’s employment at any time.</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6.5 </w:t>
      </w:r>
      <w:r>
        <w:rPr>
          <w:rFonts w:ascii="Times New Roman" w:cs="Times New Roman" w:eastAsia="Times New Roman" w:hAnsi="Times New Roman"/>
          <w:sz w:val="20"/>
          <w:szCs w:val="20"/>
          <w:b w:val="1"/>
          <w:bCs w:val="1"/>
          <w:u w:val="single" w:color="auto"/>
          <w:color w:val="auto"/>
        </w:rPr>
        <w:t>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 Executive shall obtain any money judgment relating to this Plan or otherwise prevails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litigation brought by such Executive to enforce or interpret any provision contained herein, the Company, to the fullest extent permitted by applicable law, hereby indemnifies such Executive for Executive’s reasonable attorneys’ fees and disbursements incurred in such litigation and hereby agrees to pay in full all such fees and disbursements. Such payments shall be made within ten (10) business days after the delivery of the Executive’s written request for the payment (on or following the date on which Executive obtains a money judgment related to this Plan or otherwise prevails with respect to litigation brought by him to enforce or interpret any provision contained herein) accompanied by evidence of such fees and expenses incurred as the Company may reasonably request. In</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any event, the Company shall pay the Executive such legal fees and expenses by the last day of the Executive’s taxable year following the taxable year in which the Executive incurred such legal fees and expenses. The legal fees or expenses that are subject to reimbursement pursuant to this Section 6.5 shall not be limited as a result of when the fees or expenses are incurred. The amount of legal fees or expenses that are eligible for reimbursement pursuant to this Section 6.5 during a given taxable year of the Executive shall not affect the amount of expenses eligible for reimbursement in any other taxable year of the Executive. The right to reimbursement pursuant to this Section 6.5 is not subject to liquidation or exchange for another benefit.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6.6 </w:t>
      </w:r>
      <w:r>
        <w:rPr>
          <w:rFonts w:ascii="Times New Roman" w:cs="Times New Roman" w:eastAsia="Times New Roman" w:hAnsi="Times New Roman"/>
          <w:sz w:val="20"/>
          <w:szCs w:val="20"/>
          <w:b w:val="1"/>
          <w:bCs w:val="1"/>
          <w:u w:val="single" w:color="auto"/>
          <w:color w:val="auto"/>
        </w:rPr>
        <w:t>Payment Obligations Absolute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obligation to pay an Executive the amounts provided herein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absolute and unconditional and shall not be affected by any circumstances, including, without limitation, any set-off, counterclaim, recoupment, defense or other right which the Company or any of its subsidiaries may have against such Executive or anyone else. All amounts payable by the Company shall be paid without notice or demand.</w:t>
      </w:r>
    </w:p>
    <w:p>
      <w:pPr>
        <w:spacing w:after="0" w:line="170" w:lineRule="exact"/>
        <w:rPr>
          <w:sz w:val="20"/>
          <w:szCs w:val="20"/>
          <w:color w:val="auto"/>
        </w:rPr>
      </w:pPr>
    </w:p>
    <w:p>
      <w:pPr>
        <w:jc w:val="both"/>
        <w:ind w:right="20"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6.7 </w:t>
      </w:r>
      <w:r>
        <w:rPr>
          <w:rFonts w:ascii="Times New Roman" w:cs="Times New Roman" w:eastAsia="Times New Roman" w:hAnsi="Times New Roman"/>
          <w:sz w:val="20"/>
          <w:szCs w:val="20"/>
          <w:b w:val="1"/>
          <w:bCs w:val="1"/>
          <w:u w:val="single" w:color="auto"/>
          <w:color w:val="auto"/>
        </w:rPr>
        <w:t>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benefits or amounts paid or provided pursuant to this Plan shall be subject to all applicable taxes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withholdings.</w:t>
      </w:r>
    </w:p>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6.8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provision of this Plan that is prohibited or unenforceable in any jurisdiction by reason of applicable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17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6.9 </w:t>
      </w:r>
      <w:r>
        <w:rPr>
          <w:rFonts w:ascii="Times New Roman" w:cs="Times New Roman" w:eastAsia="Times New Roman" w:hAnsi="Times New Roman"/>
          <w:sz w:val="20"/>
          <w:szCs w:val="20"/>
          <w:b w:val="1"/>
          <w:bCs w:val="1"/>
          <w:u w:val="single" w:color="auto"/>
          <w:color w:val="auto"/>
        </w:rPr>
        <w:t>Compliance With 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maximum extent permitted by applicable law, amounts payable under this Plan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intended to be exempt from Section 409A or in compliance with the requirements of Section 409A and this Plan shall be administered accordingly. No amounts payable under this Plan that constitute a “deferral of compensation” within the meaning of Section 409A shall be payable unless the Executive’s termination of employment constitutes a “separation from service” within the meaning of Treas. Reg.</w:t>
      </w:r>
    </w:p>
    <w:p>
      <w:pPr>
        <w:spacing w:after="0" w:line="1" w:lineRule="exact"/>
        <w:rPr>
          <w:sz w:val="20"/>
          <w:szCs w:val="20"/>
          <w:color w:val="auto"/>
        </w:rPr>
      </w:pPr>
    </w:p>
    <w:p>
      <w:pPr>
        <w:jc w:val="both"/>
        <w:ind w:firstLine="8"/>
        <w:spacing w:after="0" w:line="260" w:lineRule="auto"/>
        <w:tabs>
          <w:tab w:leader="none" w:pos="16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1.409A-1(h). Each payment under this Plan is intended to be a “separate payment” and not a series of payments for purposes of Section 409A. Any payments or reimbursements of any expenses provided for under this Plan shall be made in accordance with Treas. Reg.</w:t>
      </w:r>
    </w:p>
    <w:p>
      <w:pPr>
        <w:spacing w:after="0" w:line="1" w:lineRule="exact"/>
        <w:rPr>
          <w:rFonts w:ascii="Times New Roman" w:cs="Times New Roman" w:eastAsia="Times New Roman" w:hAnsi="Times New Roman"/>
          <w:sz w:val="20"/>
          <w:szCs w:val="20"/>
          <w:color w:val="auto"/>
        </w:rPr>
      </w:pPr>
    </w:p>
    <w:p>
      <w:pPr>
        <w:ind w:left="160" w:hanging="152"/>
        <w:spacing w:after="0"/>
        <w:tabs>
          <w:tab w:leader="none" w:pos="1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1.409A-3(i)(l)(iv).</w:t>
      </w:r>
    </w:p>
    <w:p>
      <w:pPr>
        <w:spacing w:after="0" w:line="223"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6.10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shall be construed and enforced under and be governed in all respects by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Florida, without regard to the conflict of laws principles thereof.</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Applicable Factor</w:t>
      </w: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2420" w:type="dxa"/>
            <w:vAlign w:val="bottom"/>
            <w:tcBorders>
              <w:top w:val="single" w:sz="8" w:color="auto"/>
              <w:left w:val="single" w:sz="8" w:color="auto"/>
              <w:bottom w:val="single" w:sz="8" w:color="DEEBF6"/>
              <w:right w:val="single" w:sz="8" w:color="auto"/>
            </w:tcBorders>
            <w:shd w:val="clear" w:color="auto" w:fill="DEEBF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Job Level</w:t>
            </w:r>
          </w:p>
        </w:tc>
        <w:tc>
          <w:tcPr>
            <w:tcW w:w="2120" w:type="dxa"/>
            <w:vAlign w:val="bottom"/>
            <w:tcBorders>
              <w:top w:val="single" w:sz="8" w:color="auto"/>
              <w:bottom w:val="single" w:sz="8" w:color="DEEBF6"/>
            </w:tcBorders>
            <w:shd w:val="clear" w:color="auto" w:fill="DEEBF6"/>
          </w:tcPr>
          <w:p>
            <w:pPr>
              <w:ind w:left="440"/>
              <w:spacing w:after="0"/>
              <w:rPr>
                <w:sz w:val="20"/>
                <w:szCs w:val="20"/>
                <w:color w:val="auto"/>
              </w:rPr>
            </w:pPr>
            <w:r>
              <w:rPr>
                <w:rFonts w:ascii="Times New Roman" w:cs="Times New Roman" w:eastAsia="Times New Roman" w:hAnsi="Times New Roman"/>
                <w:sz w:val="20"/>
                <w:szCs w:val="20"/>
                <w:b w:val="1"/>
                <w:bCs w:val="1"/>
                <w:color w:val="auto"/>
              </w:rPr>
              <w:t>Applicable Factor</w:t>
            </w:r>
          </w:p>
        </w:tc>
        <w:tc>
          <w:tcPr>
            <w:tcW w:w="300" w:type="dxa"/>
            <w:vAlign w:val="bottom"/>
            <w:tcBorders>
              <w:top w:val="single" w:sz="8" w:color="auto"/>
              <w:bottom w:val="single" w:sz="8" w:color="DEEBF6"/>
              <w:right w:val="single" w:sz="8" w:color="auto"/>
            </w:tcBorders>
            <w:shd w:val="clear" w:color="auto" w:fill="DEEBF6"/>
          </w:tcPr>
          <w:p>
            <w:pPr>
              <w:spacing w:after="0"/>
              <w:rPr>
                <w:sz w:val="24"/>
                <w:szCs w:val="24"/>
                <w:color w:val="auto"/>
              </w:rPr>
            </w:pPr>
          </w:p>
        </w:tc>
        <w:tc>
          <w:tcPr>
            <w:tcW w:w="2420" w:type="dxa"/>
            <w:vAlign w:val="bottom"/>
            <w:tcBorders>
              <w:top w:val="single" w:sz="8" w:color="auto"/>
              <w:bottom w:val="single" w:sz="8" w:color="DEEBF6"/>
              <w:right w:val="single" w:sz="8" w:color="auto"/>
            </w:tcBorders>
            <w:shd w:val="clear" w:color="auto" w:fill="DEEBF6"/>
          </w:tcPr>
          <w:p>
            <w:pPr>
              <w:ind w:left="220"/>
              <w:spacing w:after="0"/>
              <w:rPr>
                <w:sz w:val="20"/>
                <w:szCs w:val="20"/>
                <w:color w:val="auto"/>
              </w:rPr>
            </w:pPr>
            <w:r>
              <w:rPr>
                <w:rFonts w:ascii="Times New Roman" w:cs="Times New Roman" w:eastAsia="Times New Roman" w:hAnsi="Times New Roman"/>
                <w:sz w:val="20"/>
                <w:szCs w:val="20"/>
                <w:b w:val="1"/>
                <w:bCs w:val="1"/>
                <w:color w:val="auto"/>
              </w:rPr>
              <w:t>Applicable CIC Factor</w:t>
            </w:r>
          </w:p>
        </w:tc>
        <w:tc>
          <w:tcPr>
            <w:tcW w:w="120" w:type="dxa"/>
            <w:vAlign w:val="bottom"/>
            <w:tcBorders>
              <w:top w:val="single" w:sz="8" w:color="auto"/>
              <w:bottom w:val="single" w:sz="8" w:color="DEEBF6"/>
            </w:tcBorders>
            <w:shd w:val="clear" w:color="auto" w:fill="DEEBF6"/>
          </w:tcPr>
          <w:p>
            <w:pPr>
              <w:spacing w:after="0"/>
              <w:rPr>
                <w:sz w:val="24"/>
                <w:szCs w:val="24"/>
                <w:color w:val="auto"/>
              </w:rPr>
            </w:pPr>
          </w:p>
        </w:tc>
        <w:tc>
          <w:tcPr>
            <w:tcW w:w="2180" w:type="dxa"/>
            <w:vAlign w:val="bottom"/>
            <w:tcBorders>
              <w:top w:val="single" w:sz="8" w:color="auto"/>
              <w:bottom w:val="single" w:sz="8" w:color="DEEBF6"/>
              <w:right w:val="single" w:sz="8" w:color="auto"/>
            </w:tcBorders>
            <w:shd w:val="clear" w:color="auto" w:fill="DEEBF6"/>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Outplacement Period</w:t>
            </w:r>
          </w:p>
        </w:tc>
        <w:tc>
          <w:tcPr>
            <w:tcW w:w="0" w:type="dxa"/>
            <w:vAlign w:val="bottom"/>
          </w:tcPr>
          <w:p>
            <w:pPr>
              <w:spacing w:after="0"/>
              <w:rPr>
                <w:sz w:val="1"/>
                <w:szCs w:val="1"/>
                <w:color w:val="auto"/>
              </w:rPr>
            </w:pPr>
          </w:p>
        </w:tc>
      </w:tr>
      <w:tr>
        <w:trPr>
          <w:trHeight w:val="268"/>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Chief Executive Officer</w:t>
            </w:r>
          </w:p>
        </w:tc>
        <w:tc>
          <w:tcPr>
            <w:tcW w:w="2120" w:type="dxa"/>
            <w:vAlign w:val="bottom"/>
            <w:tcBorders>
              <w:top w:val="single" w:sz="8" w:color="auto"/>
            </w:tcBorders>
          </w:tcPr>
          <w:p>
            <w:pPr>
              <w:jc w:val="center"/>
              <w:ind w:left="161"/>
              <w:spacing w:after="0"/>
              <w:rPr>
                <w:sz w:val="20"/>
                <w:szCs w:val="20"/>
                <w:color w:val="auto"/>
              </w:rPr>
            </w:pPr>
            <w:r>
              <w:rPr>
                <w:rFonts w:ascii="Times New Roman" w:cs="Times New Roman" w:eastAsia="Times New Roman" w:hAnsi="Times New Roman"/>
                <w:sz w:val="20"/>
                <w:szCs w:val="20"/>
                <w:color w:val="auto"/>
                <w:w w:val="99"/>
              </w:rPr>
              <w:t>2</w:t>
            </w:r>
          </w:p>
        </w:tc>
        <w:tc>
          <w:tcPr>
            <w:tcW w:w="300" w:type="dxa"/>
            <w:vAlign w:val="bottom"/>
            <w:tcBorders>
              <w:top w:val="single" w:sz="8" w:color="auto"/>
              <w:right w:val="single" w:sz="8" w:color="auto"/>
            </w:tcBorders>
          </w:tcPr>
          <w:p>
            <w:pPr>
              <w:spacing w:after="0"/>
              <w:rPr>
                <w:sz w:val="23"/>
                <w:szCs w:val="23"/>
                <w:color w:val="auto"/>
              </w:rPr>
            </w:pPr>
          </w:p>
        </w:tc>
        <w:tc>
          <w:tcPr>
            <w:tcW w:w="2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w:t>
            </w:r>
          </w:p>
        </w:tc>
        <w:tc>
          <w:tcPr>
            <w:tcW w:w="120" w:type="dxa"/>
            <w:vAlign w:val="bottom"/>
            <w:tcBorders>
              <w:top w:val="single" w:sz="8" w:color="auto"/>
            </w:tcBorders>
          </w:tcPr>
          <w:p>
            <w:pPr>
              <w:spacing w:after="0"/>
              <w:rPr>
                <w:sz w:val="23"/>
                <w:szCs w:val="23"/>
                <w:color w:val="auto"/>
              </w:rPr>
            </w:pPr>
          </w:p>
        </w:tc>
        <w:tc>
          <w:tcPr>
            <w:tcW w:w="2180" w:type="dxa"/>
            <w:vAlign w:val="bottom"/>
            <w:tcBorders>
              <w:top w:val="single" w:sz="8" w:color="auto"/>
              <w:right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7"/>
              </w:rPr>
              <w:t>18 months</w:t>
            </w:r>
          </w:p>
        </w:tc>
        <w:tc>
          <w:tcPr>
            <w:tcW w:w="0" w:type="dxa"/>
            <w:vAlign w:val="bottom"/>
          </w:tcPr>
          <w:p>
            <w:pPr>
              <w:spacing w:after="0"/>
              <w:rPr>
                <w:sz w:val="1"/>
                <w:szCs w:val="1"/>
                <w:color w:val="auto"/>
              </w:rPr>
            </w:pPr>
          </w:p>
        </w:tc>
      </w:tr>
      <w:tr>
        <w:trPr>
          <w:trHeight w:val="258"/>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(CEO)</w:t>
            </w:r>
          </w:p>
        </w:tc>
        <w:tc>
          <w:tcPr>
            <w:tcW w:w="2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4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Executive Officer</w:t>
            </w:r>
          </w:p>
        </w:tc>
        <w:tc>
          <w:tcPr>
            <w:tcW w:w="21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rPr>
              <w:t>1.5</w:t>
            </w:r>
          </w:p>
        </w:tc>
        <w:tc>
          <w:tcPr>
            <w:tcW w:w="300" w:type="dxa"/>
            <w:vAlign w:val="bottom"/>
            <w:tcBorders>
              <w:right w:val="single" w:sz="8" w:color="auto"/>
            </w:tcBorders>
          </w:tcPr>
          <w:p>
            <w:pPr>
              <w:spacing w:after="0"/>
              <w:rPr>
                <w:sz w:val="23"/>
                <w:szCs w:val="23"/>
                <w:color w:val="auto"/>
              </w:rPr>
            </w:pP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20" w:type="dxa"/>
            <w:vAlign w:val="bottom"/>
          </w:tcPr>
          <w:p>
            <w:pPr>
              <w:spacing w:after="0"/>
              <w:rPr>
                <w:sz w:val="23"/>
                <w:szCs w:val="23"/>
                <w:color w:val="auto"/>
              </w:rPr>
            </w:pPr>
          </w:p>
        </w:tc>
        <w:tc>
          <w:tcPr>
            <w:tcW w:w="218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7"/>
              </w:rPr>
              <w:t>18 months</w:t>
            </w:r>
          </w:p>
        </w:tc>
        <w:tc>
          <w:tcPr>
            <w:tcW w:w="0" w:type="dxa"/>
            <w:vAlign w:val="bottom"/>
          </w:tcPr>
          <w:p>
            <w:pPr>
              <w:spacing w:after="0"/>
              <w:rPr>
                <w:sz w:val="1"/>
                <w:szCs w:val="1"/>
                <w:color w:val="auto"/>
              </w:rPr>
            </w:pPr>
          </w:p>
        </w:tc>
      </w:tr>
      <w:tr>
        <w:trPr>
          <w:trHeight w:val="75"/>
        </w:trPr>
        <w:tc>
          <w:tcPr>
            <w:tcW w:w="2420" w:type="dxa"/>
            <w:vAlign w:val="bottom"/>
            <w:tcBorders>
              <w:left w:val="single" w:sz="8" w:color="auto"/>
              <w:right w:val="single" w:sz="8" w:color="auto"/>
            </w:tcBorders>
            <w:vMerge w:val="continue"/>
          </w:tcPr>
          <w:p>
            <w:pPr>
              <w:spacing w:after="0"/>
              <w:rPr>
                <w:sz w:val="6"/>
                <w:szCs w:val="6"/>
                <w:color w:val="auto"/>
              </w:rPr>
            </w:pPr>
          </w:p>
        </w:tc>
        <w:tc>
          <w:tcPr>
            <w:tcW w:w="212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24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i w:val="1"/>
                <w:iCs w:val="1"/>
                <w:color w:val="auto"/>
                <w:w w:val="98"/>
              </w:rPr>
              <w:t>excluding CEO</w:t>
            </w:r>
            <w:r>
              <w:rPr>
                <w:rFonts w:ascii="Times New Roman" w:cs="Times New Roman" w:eastAsia="Times New Roman" w:hAnsi="Times New Roman"/>
                <w:sz w:val="20"/>
                <w:szCs w:val="20"/>
                <w:color w:val="auto"/>
                <w:w w:val="98"/>
              </w:rPr>
              <w:t>)</w:t>
            </w:r>
          </w:p>
        </w:tc>
        <w:tc>
          <w:tcPr>
            <w:tcW w:w="2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4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420" w:type="dxa"/>
            <w:vAlign w:val="bottom"/>
            <w:tcBorders>
              <w:left w:val="single" w:sz="8" w:color="auto"/>
              <w:bottom w:val="single" w:sz="8" w:color="auto"/>
              <w:right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24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Home Office SVP</w:t>
            </w:r>
          </w:p>
        </w:tc>
        <w:tc>
          <w:tcPr>
            <w:tcW w:w="21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9"/>
              </w:rPr>
              <w:t>1</w:t>
            </w:r>
          </w:p>
        </w:tc>
        <w:tc>
          <w:tcPr>
            <w:tcW w:w="300" w:type="dxa"/>
            <w:vAlign w:val="bottom"/>
            <w:tcBorders>
              <w:right w:val="single" w:sz="8" w:color="auto"/>
            </w:tcBorders>
          </w:tcPr>
          <w:p>
            <w:pPr>
              <w:spacing w:after="0"/>
              <w:rPr>
                <w:sz w:val="23"/>
                <w:szCs w:val="23"/>
                <w:color w:val="auto"/>
              </w:rPr>
            </w:pP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3"/>
                <w:szCs w:val="23"/>
                <w:color w:val="auto"/>
              </w:rPr>
            </w:pPr>
          </w:p>
        </w:tc>
        <w:tc>
          <w:tcPr>
            <w:tcW w:w="218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7"/>
              </w:rPr>
              <w:t>12 months</w:t>
            </w:r>
          </w:p>
        </w:tc>
        <w:tc>
          <w:tcPr>
            <w:tcW w:w="0" w:type="dxa"/>
            <w:vAlign w:val="bottom"/>
          </w:tcPr>
          <w:p>
            <w:pPr>
              <w:spacing w:after="0"/>
              <w:rPr>
                <w:sz w:val="1"/>
                <w:szCs w:val="1"/>
                <w:color w:val="auto"/>
              </w:rPr>
            </w:pPr>
          </w:p>
        </w:tc>
      </w:tr>
      <w:tr>
        <w:trPr>
          <w:trHeight w:val="21"/>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SVP, Operations</w:t>
            </w:r>
          </w:p>
        </w:tc>
        <w:tc>
          <w:tcPr>
            <w:tcW w:w="2120" w:type="dxa"/>
            <w:vAlign w:val="bottom"/>
          </w:tcPr>
          <w:p>
            <w:pPr>
              <w:jc w:val="center"/>
              <w:ind w:left="161"/>
              <w:spacing w:after="0"/>
              <w:rPr>
                <w:sz w:val="20"/>
                <w:szCs w:val="20"/>
                <w:color w:val="auto"/>
              </w:rPr>
            </w:pPr>
            <w:r>
              <w:rPr>
                <w:rFonts w:ascii="Times New Roman" w:cs="Times New Roman" w:eastAsia="Times New Roman" w:hAnsi="Times New Roman"/>
                <w:sz w:val="20"/>
                <w:szCs w:val="20"/>
                <w:color w:val="auto"/>
                <w:w w:val="97"/>
              </w:rPr>
              <w:t>0.75</w:t>
            </w:r>
          </w:p>
        </w:tc>
        <w:tc>
          <w:tcPr>
            <w:tcW w:w="300" w:type="dxa"/>
            <w:vAlign w:val="bottom"/>
            <w:tcBorders>
              <w:right w:val="single" w:sz="8" w:color="auto"/>
            </w:tcBorders>
          </w:tcPr>
          <w:p>
            <w:pPr>
              <w:spacing w:after="0"/>
              <w:rPr>
                <w:sz w:val="23"/>
                <w:szCs w:val="23"/>
                <w:color w:val="auto"/>
              </w:rPr>
            </w:pP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0.75</w:t>
            </w:r>
          </w:p>
        </w:tc>
        <w:tc>
          <w:tcPr>
            <w:tcW w:w="120" w:type="dxa"/>
            <w:vAlign w:val="bottom"/>
          </w:tcPr>
          <w:p>
            <w:pPr>
              <w:spacing w:after="0"/>
              <w:rPr>
                <w:sz w:val="23"/>
                <w:szCs w:val="23"/>
                <w:color w:val="auto"/>
              </w:rPr>
            </w:pPr>
          </w:p>
        </w:tc>
        <w:tc>
          <w:tcPr>
            <w:tcW w:w="218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rPr>
              <w:t>9 months</w:t>
            </w:r>
          </w:p>
        </w:tc>
        <w:tc>
          <w:tcPr>
            <w:tcW w:w="0" w:type="dxa"/>
            <w:vAlign w:val="bottom"/>
          </w:tcPr>
          <w:p>
            <w:pPr>
              <w:spacing w:after="0"/>
              <w:rPr>
                <w:sz w:val="1"/>
                <w:szCs w:val="1"/>
                <w:color w:val="auto"/>
              </w:rPr>
            </w:pPr>
          </w:p>
        </w:tc>
      </w:tr>
      <w:tr>
        <w:trPr>
          <w:trHeight w:val="21"/>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Other Participants</w:t>
            </w:r>
          </w:p>
        </w:tc>
        <w:tc>
          <w:tcPr>
            <w:tcW w:w="2120" w:type="dxa"/>
            <w:vAlign w:val="bottom"/>
          </w:tcPr>
          <w:p>
            <w:pPr>
              <w:spacing w:after="0"/>
              <w:rPr>
                <w:sz w:val="23"/>
                <w:szCs w:val="23"/>
                <w:color w:val="auto"/>
              </w:rPr>
            </w:pPr>
          </w:p>
        </w:tc>
        <w:tc>
          <w:tcPr>
            <w:tcW w:w="2840" w:type="dxa"/>
            <w:vAlign w:val="bottom"/>
            <w:gridSpan w:val="3"/>
          </w:tcPr>
          <w:p>
            <w:pPr>
              <w:ind w:left="140"/>
              <w:spacing w:after="0"/>
              <w:rPr>
                <w:sz w:val="20"/>
                <w:szCs w:val="20"/>
                <w:color w:val="auto"/>
              </w:rPr>
            </w:pPr>
            <w:r>
              <w:rPr>
                <w:rFonts w:ascii="Times New Roman" w:cs="Times New Roman" w:eastAsia="Times New Roman" w:hAnsi="Times New Roman"/>
                <w:sz w:val="20"/>
                <w:szCs w:val="20"/>
                <w:i w:val="1"/>
                <w:iCs w:val="1"/>
                <w:color w:val="auto"/>
              </w:rPr>
              <w:t>As determined by the Committee</w:t>
            </w:r>
          </w:p>
        </w:tc>
        <w:tc>
          <w:tcPr>
            <w:tcW w:w="21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10" w:name="page111"/>
    <w:bookmarkEnd w:id="110"/>
    <w:p>
      <w:pPr>
        <w:spacing w:after="0" w:line="200" w:lineRule="exact"/>
        <w:rPr>
          <w:sz w:val="20"/>
          <w:szCs w:val="20"/>
          <w:color w:val="auto"/>
        </w:rPr>
      </w:pPr>
    </w:p>
    <w:p>
      <w:pPr>
        <w:spacing w:after="0" w:line="2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PARTICIPATION AGREEMENT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First Watch Restaurant Group,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Executive Severance Plan</w:t>
      </w:r>
    </w:p>
    <w:p>
      <w:pPr>
        <w:spacing w:after="0" w:line="250" w:lineRule="exact"/>
        <w:rPr>
          <w:sz w:val="20"/>
          <w:szCs w:val="20"/>
          <w:color w:val="auto"/>
        </w:rPr>
      </w:pPr>
    </w:p>
    <w:p>
      <w:pPr>
        <w:jc w:val="both"/>
        <w:ind w:right="20" w:firstLine="648"/>
        <w:spacing w:after="0" w:line="277" w:lineRule="auto"/>
        <w:rPr>
          <w:sz w:val="20"/>
          <w:szCs w:val="20"/>
          <w:color w:val="auto"/>
        </w:rPr>
      </w:pPr>
      <w:r>
        <w:rPr>
          <w:rFonts w:ascii="Times New Roman" w:cs="Times New Roman" w:eastAsia="Times New Roman" w:hAnsi="Times New Roman"/>
          <w:sz w:val="20"/>
          <w:szCs w:val="20"/>
          <w:color w:val="auto"/>
        </w:rPr>
        <w:t>This Participation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by and between [EXECUTIVE NAME] (the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and First Watch Restaurant Group,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effective as of [DATE] (the “</w:t>
      </w:r>
      <w:r>
        <w:rPr>
          <w:rFonts w:ascii="Times New Roman" w:cs="Times New Roman" w:eastAsia="Times New Roman" w:hAnsi="Times New Roman"/>
          <w:sz w:val="20"/>
          <w:szCs w:val="20"/>
          <w:b w:val="1"/>
          <w:b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maintains the First Watch Restaurant Group, Inc. Executive Severance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to provide for specified severance benefits in connection with certain Qualifying Terminations (as defined in the Plan). The Executive hereby acknowledges that the Executive has read and understands the terms of the Plan and agrees to participate in the Plan. Capitalized terms used but not defined in this Agreement shall have the meaning set forth in the Plan.</w:t>
      </w:r>
    </w:p>
    <w:p>
      <w:pPr>
        <w:spacing w:after="0" w:line="20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 xml:space="preserve">Upon executing this Agreement, the Executive shall be an “Executive” as defined in the Plan. The Executive expressly acknowledges and agrees that other than as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Plan, the Executive shall have no other rights or entitlement to severance payments or benefits from the Company or any of its subsidiaries, including any severance payments or benefits (i) set forth in any offer letter or employment agreement between the Executive and the Company or (ii) offered to other Company employees pursuant to any other Company plan or policy. Furthermore, the Executive and the Company agree that in the event the Executive experiences a Qualifying Termination within the Protection Period, Section 4.2(f) shall govern the treatment of any equity awards that have been issued or may hereafter be issued to the Executive under the Equity Plan. The Executive hereby expressly acknowledges and agrees that the covenants set forth in Section 5.1 of the Plan are reasonably necessary to protect the Company’s customer relationships and other valuable business interests and, furthermore, that such covenants shall replace and supersede any covenants concerning non-competition, non-solicitation, non-disclosure of confidential information and non-disparagement applicable to an Executive that the Executive may be subject to pursuant to an arrangement with the Company as of immediately prior to Effective Date.</w:t>
      </w:r>
    </w:p>
    <w:p>
      <w:pPr>
        <w:spacing w:after="0" w:line="200" w:lineRule="exact"/>
        <w:rPr>
          <w:sz w:val="20"/>
          <w:szCs w:val="20"/>
          <w:color w:val="auto"/>
        </w:rPr>
      </w:pPr>
    </w:p>
    <w:p>
      <w:pPr>
        <w:spacing w:after="0" w:line="25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each of the parties has executed this Agreement, in the case of the Company by its duly authorized officer,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031740" cy="1045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5031740" cy="10458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ectPr>
          <w:pgSz w:w="11900" w:h="16838" w:orient="portrait"/>
          <w:cols w:equalWidth="0" w:num="1">
            <w:col w:w="9019"/>
          </w:cols>
          <w:pgMar w:left="1440" w:top="1440"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Release</w:t>
      </w:r>
    </w:p>
    <w:p>
      <w:pPr>
        <w:sectPr>
          <w:pgSz w:w="11900" w:h="16838" w:orient="portrait"/>
          <w:cols w:equalWidth="0" w:num="1">
            <w:col w:w="9019"/>
          </w:cols>
          <w:pgMar w:left="1440" w:top="1440" w:right="1440" w:bottom="1440" w:gutter="0" w:footer="0" w:header="0"/>
          <w:type w:val="continuous"/>
        </w:sectPr>
      </w:pPr>
    </w:p>
    <w:bookmarkStart w:id="112" w:name="page113"/>
    <w:bookmarkEnd w:id="112"/>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RELEASE AND WAIVER OF CLAIMS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 RELEASE AND WAIVER OF CLAIMS (this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by [</w:t>
      </w:r>
      <w:r>
        <w:rPr>
          <w:rFonts w:ascii="Times New Roman" w:cs="Times New Roman" w:eastAsia="Times New Roman" w:hAnsi="Times New Roman"/>
          <w:sz w:val="20"/>
          <w:szCs w:val="20"/>
          <w:i w:val="1"/>
          <w:iCs w:val="1"/>
          <w:color w:val="auto"/>
        </w:rPr>
        <w:t>Executive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in favor of First Watch Restaurant Group, Inc. and its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affiliates, stockholders, beneficial owners of its stock, its current or former officers, directors, employees, members, attorneys and agents, and their predecessors, successors and assigns, individual and in their official capacities (together, the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Executive has been employed as [</w:t>
      </w:r>
      <w:r>
        <w:rPr>
          <w:rFonts w:ascii="Times New Roman" w:cs="Times New Roman" w:eastAsia="Times New Roman" w:hAnsi="Times New Roman"/>
          <w:sz w:val="20"/>
          <w:szCs w:val="20"/>
          <w:i w:val="1"/>
          <w:iCs w:val="1"/>
          <w:color w:val="auto"/>
        </w:rPr>
        <w:t>title</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Executive’s employment with the Company was terminated, effective as of [</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and</w:t>
      </w:r>
    </w:p>
    <w:p>
      <w:pPr>
        <w:spacing w:after="0" w:line="23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the Executive is seeking certain payments under Section [4.1][4.2] of the Company’s Executive Severance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that are conditioned on Executive’s timely execution and non-revocation of this Release.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consideration of the covenants and agreements set forth in this Release and the Plan, the Executive and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agree as follows:</w:t>
      </w:r>
    </w:p>
    <w:p>
      <w:pPr>
        <w:spacing w:after="0" w:line="196" w:lineRule="exact"/>
        <w:rPr>
          <w:sz w:val="20"/>
          <w:szCs w:val="20"/>
          <w:color w:val="auto"/>
        </w:rPr>
      </w:pPr>
    </w:p>
    <w:p>
      <w:pPr>
        <w:jc w:val="both"/>
        <w:ind w:firstLine="656"/>
        <w:spacing w:after="0" w:line="251"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 Release and Covenant Not to Sue</w:t>
      </w:r>
      <w:r>
        <w:rPr>
          <w:rFonts w:ascii="Times New Roman" w:cs="Times New Roman" w:eastAsia="Times New Roman" w:hAnsi="Times New Roman"/>
          <w:sz w:val="20"/>
          <w:szCs w:val="20"/>
          <w:color w:val="auto"/>
        </w:rPr>
        <w:t>. Executive knowingly and voluntarily waives, terminates, cancels and fully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forever discharges and releases the Released Parties from any and all suits, actions, causes of action, claims, allegations, rights, obligations, liabilities, demands, entitlements or charges (collectively,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that the Executive (or the Executive’s heirs, executors, administrators, successors and assigns) has or may have, whether known, unknown or unforeseen, vested or contingent, by reason of any matter, cause or thing occurring at any time before and including the date of Executive’s execution of this Release, including all claims arising under or in connection with Executive’s employment or termination of employment with the Company, including, without limitation: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age, national origin, religion, disability, sexual orientation, or any other unlawful criterion or circumstance, including rights or Claims under the Age Discrimination in Employment Act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the Older Workers Benefit Protection Act (“</w:t>
      </w:r>
      <w:r>
        <w:rPr>
          <w:rFonts w:ascii="Times New Roman" w:cs="Times New Roman" w:eastAsia="Times New Roman" w:hAnsi="Times New Roman"/>
          <w:sz w:val="20"/>
          <w:szCs w:val="20"/>
          <w:b w:val="1"/>
          <w:bCs w:val="1"/>
          <w:color w:val="auto"/>
        </w:rPr>
        <w:t>OWBPA</w:t>
      </w:r>
      <w:r>
        <w:rPr>
          <w:rFonts w:ascii="Times New Roman" w:cs="Times New Roman" w:eastAsia="Times New Roman" w:hAnsi="Times New Roman"/>
          <w:sz w:val="20"/>
          <w:szCs w:val="20"/>
          <w:color w:val="auto"/>
        </w:rPr>
        <w:t>”), Title VII of the Civil Rights Act of 1964, as amended, 42 U.S.C. § 1981, the Americans With Disabilities Act (“</w:t>
      </w:r>
      <w:r>
        <w:rPr>
          <w:rFonts w:ascii="Times New Roman" w:cs="Times New Roman" w:eastAsia="Times New Roman" w:hAnsi="Times New Roman"/>
          <w:sz w:val="20"/>
          <w:szCs w:val="20"/>
          <w:b w:val="1"/>
          <w:bCs w:val="1"/>
          <w:color w:val="auto"/>
        </w:rPr>
        <w:t>ADA</w:t>
      </w:r>
      <w:r>
        <w:rPr>
          <w:rFonts w:ascii="Times New Roman" w:cs="Times New Roman" w:eastAsia="Times New Roman" w:hAnsi="Times New Roman"/>
          <w:sz w:val="20"/>
          <w:szCs w:val="20"/>
          <w:color w:val="auto"/>
        </w:rPr>
        <w:t>”), the Family and Medical Leave Act (“</w:t>
      </w:r>
      <w:r>
        <w:rPr>
          <w:rFonts w:ascii="Times New Roman" w:cs="Times New Roman" w:eastAsia="Times New Roman" w:hAnsi="Times New Roman"/>
          <w:sz w:val="20"/>
          <w:szCs w:val="20"/>
          <w:b w:val="1"/>
          <w:bCs w:val="1"/>
          <w:color w:val="auto"/>
        </w:rPr>
        <w:t>FMLA</w:t>
      </w:r>
      <w:r>
        <w:rPr>
          <w:rFonts w:ascii="Times New Roman" w:cs="Times New Roman" w:eastAsia="Times New Roman" w:hAnsi="Times New Roman"/>
          <w:sz w:val="20"/>
          <w:szCs w:val="20"/>
          <w:color w:val="auto"/>
        </w:rPr>
        <w:t>”), the Employee Retirement Income Security Act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the Equal Pay Act (“</w:t>
      </w:r>
      <w:r>
        <w:rPr>
          <w:rFonts w:ascii="Times New Roman" w:cs="Times New Roman" w:eastAsia="Times New Roman" w:hAnsi="Times New Roman"/>
          <w:sz w:val="20"/>
          <w:szCs w:val="20"/>
          <w:b w:val="1"/>
          <w:bCs w:val="1"/>
          <w:color w:val="auto"/>
        </w:rPr>
        <w:t>EPA</w:t>
      </w:r>
      <w:r>
        <w:rPr>
          <w:rFonts w:ascii="Times New Roman" w:cs="Times New Roman" w:eastAsia="Times New Roman" w:hAnsi="Times New Roman"/>
          <w:sz w:val="20"/>
          <w:szCs w:val="20"/>
          <w:color w:val="auto"/>
        </w:rPr>
        <w:t>”), the Occupational Safety and Health Act (“</w:t>
      </w:r>
      <w:r>
        <w:rPr>
          <w:rFonts w:ascii="Times New Roman" w:cs="Times New Roman" w:eastAsia="Times New Roman" w:hAnsi="Times New Roman"/>
          <w:sz w:val="20"/>
          <w:szCs w:val="20"/>
          <w:b w:val="1"/>
          <w:bCs w:val="1"/>
          <w:color w:val="auto"/>
        </w:rPr>
        <w:t>OSHA</w:t>
      </w:r>
      <w:r>
        <w:rPr>
          <w:rFonts w:ascii="Times New Roman" w:cs="Times New Roman" w:eastAsia="Times New Roman" w:hAnsi="Times New Roman"/>
          <w:sz w:val="20"/>
          <w:szCs w:val="20"/>
          <w:color w:val="auto"/>
        </w:rPr>
        <w:t>”), the Florida Civil Rights Act, the Florida Whistleblower Protection Act, the Florida Workers’ Compensation Retaliation provision, the Florida Minimum Wage Act, and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 (the “</w:t>
      </w:r>
      <w:r>
        <w:rPr>
          <w:rFonts w:ascii="Times New Roman" w:cs="Times New Roman" w:eastAsia="Times New Roman" w:hAnsi="Times New Roman"/>
          <w:sz w:val="20"/>
          <w:szCs w:val="20"/>
          <w:b w:val="1"/>
          <w:bCs w:val="1"/>
          <w:color w:val="auto"/>
        </w:rPr>
        <w:t>Released Matters</w:t>
      </w:r>
      <w:r>
        <w:rPr>
          <w:rFonts w:ascii="Times New Roman" w:cs="Times New Roman" w:eastAsia="Times New Roman" w:hAnsi="Times New Roman"/>
          <w:sz w:val="20"/>
          <w:szCs w:val="20"/>
          <w:color w:val="auto"/>
        </w:rPr>
        <w:t>”).</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459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61" w:lineRule="exact"/>
        <w:rPr>
          <w:sz w:val="20"/>
          <w:szCs w:val="20"/>
          <w:color w:val="auto"/>
        </w:rPr>
      </w:pPr>
    </w:p>
    <w:p>
      <w:pPr>
        <w:ind w:left="120" w:hanging="112"/>
        <w:spacing w:after="0"/>
        <w:tabs>
          <w:tab w:leader="none" w:pos="12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Form of Release to be updated / customized for applicable state-specific law based on Executive’s state of residence.</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ind w:firstLine="656"/>
        <w:spacing w:after="0" w:line="250" w:lineRule="auto"/>
        <w:tabs>
          <w:tab w:leader="none" w:pos="129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Surviving 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understands that nothing contained in this Release will release, impair, waive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adversely affect Executive’s rights (a) to enforce the terms of this Release or the Plan, (b) to any defense, indemnification, contribution and/or coverage under the Company’s director’s and officer’s liability insurance policy or the charter or bylaws of the Company or any indemnification agreement with the Company to which Executive is a party, in each case, in accordance with its respective terms by reason of services Executive rendered for the Company or any of its subsidiaries as a director, an officer and/or an employee thereof, (c) to vested benefits under any applicable employee benefit plans of the Company, (d) to elect to receive COBRA continuation coverage in accordance with applicable law, (e) to receive an award from a government agency under its whistleblower program (including any right Executive may have to receive a monetary award from the SEC as an SEC Whistleblower, pursuant to the bounty provision under Section 922(a)-(g) of the Dodd Frank Act, 7 U.S.C. Sec. 26(a)-(g), as may be amended from time to time) for reporting in good faith a possible violation of law,</w:t>
      </w:r>
    </w:p>
    <w:p>
      <w:pPr>
        <w:spacing w:after="0" w:line="2"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recovery to which Executive may be entitled pursuant to state workers’ compensation and unemployment insurance laws, (g) to</w:t>
      </w:r>
    </w:p>
    <w:p>
      <w:pPr>
        <w:spacing w:after="0" w:line="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challenge the validity of this Agreement under the ADEA, and/or (h) to claims that cannot be waived under applicable law by signing this Release.</w:t>
      </w:r>
    </w:p>
    <w:p>
      <w:pPr>
        <w:spacing w:after="0" w:line="157" w:lineRule="exact"/>
        <w:rPr>
          <w:sz w:val="20"/>
          <w:szCs w:val="20"/>
          <w:color w:val="auto"/>
        </w:rPr>
      </w:pPr>
    </w:p>
    <w:p>
      <w:pPr>
        <w:jc w:val="both"/>
        <w:ind w:firstLine="656"/>
        <w:spacing w:after="0" w:line="263" w:lineRule="auto"/>
        <w:tabs>
          <w:tab w:leader="none" w:pos="1296"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Protected Activities</w:t>
      </w:r>
      <w:r>
        <w:rPr>
          <w:rFonts w:ascii="Times New Roman" w:cs="Times New Roman" w:eastAsia="Times New Roman" w:hAnsi="Times New Roman"/>
          <w:sz w:val="19"/>
          <w:szCs w:val="19"/>
          <w:color w:val="auto"/>
        </w:rPr>
        <w:t>. Executive and the Company acknowledge and agree that this Release shall not be construed or applied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 a manner that limits or interferes with Executive’s right, without notice to or authorization of the Company, to make truthful statements or disclosures regarding unlawful employment practices, or to communicate and cooperate in good faith with a government agency for the purpose of (a) reporting a possible violation of any U.S. federal, state, or local law or regulation, or (b) filing a charge or complaint with, cooperating with, or participating in any investigation or proceeding that may be conducted or managed by any government agency (such as the Equal Employment Opportunity Commission or a state fair employment practices agency), including by providing documents or other information </w:t>
      </w:r>
      <w:r>
        <w:rPr>
          <w:rFonts w:ascii="Times New Roman" w:cs="Times New Roman" w:eastAsia="Times New Roman" w:hAnsi="Times New Roman"/>
          <w:sz w:val="19"/>
          <w:szCs w:val="19"/>
          <w:i w:val="1"/>
          <w:iCs w:val="1"/>
          <w:color w:val="auto"/>
        </w:rPr>
        <w:t>(except that Executive acknowledges that, solely to the maximum extent permitted by law, Executive may not recover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monetary benefits in connection with any such charge, investigation, or proceeding, and Executive further waives any rights or claims to any payment, benefit, attorneys’ fees or other remedial relief in connection with any such charge, investigation or proceeding)</w:t>
      </w:r>
      <w:r>
        <w:rPr>
          <w:rFonts w:ascii="Times New Roman" w:cs="Times New Roman" w:eastAsia="Times New Roman" w:hAnsi="Times New Roman"/>
          <w:sz w:val="19"/>
          <w:szCs w:val="19"/>
          <w:color w:val="auto"/>
        </w:rPr>
        <w:t>. Additionally,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Executive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(ii) in a complaint or other document filed in a lawsuit or other proceeding, if such filing is made under seal; or</w:t>
      </w:r>
    </w:p>
    <w:p>
      <w:pPr>
        <w:spacing w:after="0" w:line="1" w:lineRule="exact"/>
        <w:rPr>
          <w:rFonts w:ascii="Times New Roman" w:cs="Times New Roman" w:eastAsia="Times New Roman" w:hAnsi="Times New Roman"/>
          <w:sz w:val="19"/>
          <w:szCs w:val="19"/>
          <w:color w:val="auto"/>
        </w:rPr>
      </w:pPr>
    </w:p>
    <w:p>
      <w:pPr>
        <w:ind w:left="400" w:hanging="392"/>
        <w:spacing w:after="0"/>
        <w:tabs>
          <w:tab w:leader="none" w:pos="4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court proceedings if Executive files a lawsuit for retaliation by an employer for reporting a suspected violation of law, or to</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Executive’s attorney in such lawsuit, provided that Executive must file any document containing the trade secret under seal, and Executive may not disclose the trade secret, except pursuant to court order. Notwithstanding the foregoing, under no circumstance will Executive be authorized to make any disclosures as to which the Company may assert protections from disclosure under the attorney-client privilege or the attorney work product doctrine, without prior written consent of a duly authorized officer of the Company, except to the extent disclosure of such information is permitted under any applicable law, rule or regulation. Provided further, nothing in this Release prevents Executive from discussing or disclosing information about unlawful acts in the workplace, such as harassment or discrimination or any other conduct which Executive has reason to believe is unlawful.</w:t>
      </w:r>
    </w:p>
    <w:p>
      <w:pPr>
        <w:spacing w:after="0" w:line="194" w:lineRule="exact"/>
        <w:rPr>
          <w:sz w:val="20"/>
          <w:szCs w:val="20"/>
          <w:color w:val="auto"/>
        </w:rPr>
      </w:pPr>
    </w:p>
    <w:p>
      <w:pPr>
        <w:jc w:val="both"/>
        <w:ind w:firstLine="656"/>
        <w:spacing w:after="0" w:line="263"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Representations</w:t>
      </w:r>
      <w:r>
        <w:rPr>
          <w:rFonts w:ascii="Times New Roman" w:cs="Times New Roman" w:eastAsia="Times New Roman" w:hAnsi="Times New Roman"/>
          <w:sz w:val="20"/>
          <w:szCs w:val="20"/>
          <w:color w:val="auto"/>
        </w:rPr>
        <w:t>. Executive further represents and warrants that Executive has not filed any civil action, suit,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arbitration, administrative charge, or legal proceeding against any Released Party nor, has Executive assigned, pledged, or hypothecated as of the Effective Date any Claim to any person and no other person has an interest in the Claims that he is releasing.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18" w:lineRule="exact"/>
        <w:rPr>
          <w:sz w:val="20"/>
          <w:szCs w:val="20"/>
          <w:color w:val="auto"/>
        </w:rPr>
      </w:pPr>
    </w:p>
    <w:p>
      <w:pPr>
        <w:jc w:val="both"/>
        <w:ind w:firstLine="656"/>
        <w:spacing w:after="0" w:line="252" w:lineRule="auto"/>
        <w:tabs>
          <w:tab w:leader="none" w:pos="1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Acknowledgements by Executive</w:t>
      </w:r>
      <w:r>
        <w:rPr>
          <w:rFonts w:ascii="Times New Roman" w:cs="Times New Roman" w:eastAsia="Times New Roman" w:hAnsi="Times New Roman"/>
          <w:sz w:val="20"/>
          <w:szCs w:val="20"/>
          <w:color w:val="auto"/>
        </w:rPr>
        <w:t>. Executive acknowledges and agrees that Executive has read this Release in its entirety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that this Release is a general release of all known and unknown Claims. Executive acknowledges that Executive may discover facts or law different from, or in addition to, the facts or law that Executive knows or believes to be true with respect to the claims released in this Agreement and agrees, nonetheless, that this Agreement and the release contained in it shall be and remain effective in all respects notwithstanding such different or additional facts or the discovery of them. Executive acknowledges and agrees that no portion of the severance payments is allocable to any claim of sexual harassment under federal, state or local law. Executive understands and agrees that by entering into this Release, Executive is waiving any and all rights or claims Executive might have under the ADEA, as amended by the Older Workers Benefit Protection 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Executive further acknowledges and agrees that:</w:t>
      </w:r>
    </w:p>
    <w:p>
      <w:pPr>
        <w:spacing w:after="0" w:line="229" w:lineRule="exact"/>
        <w:rPr>
          <w:sz w:val="20"/>
          <w:szCs w:val="20"/>
          <w:color w:val="auto"/>
        </w:rPr>
      </w:pPr>
    </w:p>
    <w:p>
      <w:pPr>
        <w:jc w:val="both"/>
        <w:ind w:left="660" w:firstLine="644"/>
        <w:spacing w:after="0" w:line="261" w:lineRule="auto"/>
        <w:tabs>
          <w:tab w:leader="none" w:pos="194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Release does not release, waive or discharge any rights or Claims that may arise for actions or omissions after the Effective Date of this Release and Executive acknowledges that [he][she] is not releasing, waiving or discharging any ADEA Claims that may arise after the date on which Executive signs this Release;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entered into this Release of Executive’s own free will, and that no promises or representations have been made to Executive by any person to induce Executive to enter into this Release other than the express terms set forth herein. Executive further acknowledges that Executive has read this Release and understands all of its terms, including the waiver of the Released Matters;</w:t>
      </w:r>
    </w:p>
    <w:p>
      <w:pPr>
        <w:spacing w:after="0" w:line="187"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entering into this Release and releasing, waiving and discharging rights or Claims only in exchange for consideration which he is not already entitled to receive;</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advised, and is hereby being advised by the Release, to consult with an attorney before executing this Release; [Executive acknowledges that [he][she] has consulted with counsel of [his][her] choice concerning the terms and conditions of this Release;]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advised, and is being advised by this Release, that [he][she] has been given at least [twenty-one (21)] [forty-five (45)] days within which to consider the Release, but Executive can execute this Release at any time prior to the expiration of such review period; [and]</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this Release includes a release of claims under ADEA, Executive is being provided with the information contained in Schedule 2 hereto in accordance with the OWBPA];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is aware that this Release shall become null and void if [he][she] revokes [his][her] agreement to this Release within seven (7) days following the date of execution of this Release. Executive may revoke this Release at any time during such seven-day period by delivering (or causing to be delivered) to the Company written notice of his revocation of this Release no later than 5:00 p.m. Eastern time on the seventh (7th) full day following the date of execution of this Release (the "Effective Date"). Executive agrees and acknowledges that a letter of revocation that is not received by such date and time will be invalid and will not revoke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ind w:firstLine="656"/>
        <w:spacing w:after="0" w:line="287"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Continuing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acknowledges and agrees that the ongoing obligations set forth in Section 5.1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(collectively, the “</w:t>
      </w:r>
      <w:r>
        <w:rPr>
          <w:rFonts w:ascii="Times New Roman" w:cs="Times New Roman" w:eastAsia="Times New Roman" w:hAnsi="Times New Roman"/>
          <w:sz w:val="20"/>
          <w:szCs w:val="20"/>
          <w:b w:val="1"/>
          <w:bCs w:val="1"/>
          <w:color w:val="auto"/>
        </w:rPr>
        <w:t>Restrictive Covenants</w:t>
      </w:r>
      <w:r>
        <w:rPr>
          <w:rFonts w:ascii="Times New Roman" w:cs="Times New Roman" w:eastAsia="Times New Roman" w:hAnsi="Times New Roman"/>
          <w:sz w:val="20"/>
          <w:szCs w:val="20"/>
          <w:color w:val="auto"/>
        </w:rPr>
        <w:t>”), shall continue to apply in accordance with their terms.</w:t>
      </w:r>
    </w:p>
    <w:p>
      <w:pPr>
        <w:spacing w:after="0" w:line="138" w:lineRule="exact"/>
        <w:rPr>
          <w:rFonts w:ascii="Times New Roman" w:cs="Times New Roman" w:eastAsia="Times New Roman" w:hAnsi="Times New Roman"/>
          <w:sz w:val="20"/>
          <w:szCs w:val="20"/>
          <w:color w:val="auto"/>
        </w:rPr>
      </w:pPr>
    </w:p>
    <w:p>
      <w:pPr>
        <w:ind w:firstLine="656"/>
        <w:spacing w:after="0" w:line="287"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Admission of Liability</w:t>
      </w:r>
      <w:r>
        <w:rPr>
          <w:rFonts w:ascii="Times New Roman" w:cs="Times New Roman" w:eastAsia="Times New Roman" w:hAnsi="Times New Roman"/>
          <w:sz w:val="20"/>
          <w:szCs w:val="20"/>
          <w:color w:val="auto"/>
        </w:rPr>
        <w:t>. Neither by offering to make nor by making this Release does either the Company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admit any failure of performance, wrongdoing or violation of law.</w:t>
      </w:r>
    </w:p>
    <w:p>
      <w:pPr>
        <w:spacing w:after="0" w:line="138"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Cooperation with Investigations/Litigation</w:t>
      </w:r>
      <w:r>
        <w:rPr>
          <w:rFonts w:ascii="Times New Roman" w:cs="Times New Roman" w:eastAsia="Times New Roman" w:hAnsi="Times New Roman"/>
          <w:sz w:val="20"/>
          <w:szCs w:val="20"/>
          <w:color w:val="auto"/>
        </w:rPr>
        <w:t>. Executive agrees, at the Company’s request, to reasonably cooperate,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providing truthful information, documents and testimony, in any Company investigation, litigation, arbitration, or regulatory proceeding regarding events that occurred during Executive’s employment with the Company. Executive’s requested cooperation may include, for example, making Executive reasonably available to consult with the Company’s counsel, providing truthful information and documents, and appearing to give truthful testimony. The Company will, to the extent permitted by applicable law and court rules, reimburse Executive for reasonable out-of-pocket expenses that Executive incurs in providing any requested cooperation, so long as such expenses are pre-approved by the Company and Executive provides documentation satisfactory to the Company of the expenses.</w:t>
      </w:r>
    </w:p>
    <w:p>
      <w:pPr>
        <w:spacing w:after="0" w:line="186"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Return of Property</w:t>
      </w:r>
      <w:r>
        <w:rPr>
          <w:rFonts w:ascii="Times New Roman" w:cs="Times New Roman" w:eastAsia="Times New Roman" w:hAnsi="Times New Roman"/>
          <w:sz w:val="20"/>
          <w:szCs w:val="20"/>
          <w:color w:val="auto"/>
        </w:rPr>
        <w:t>. The Executive agrees that [he][she] has seven (7) days after the Termination Date to return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[_________, __________], all outstanding Company documents and items in his possession, including but not limited to, Company business records and property, including as applicable electronic data and originals and hard copies of all notes, computer, key fobs, keys, access cards, contracts, employee records, files, correspondence, thumb drives, financial data, or the like containing information which was provided by the Company or obtained as a result of Executive’s employment relationship with the Company, or which enabled Executive to access the Company’s property and computer systems and programs.</w:t>
      </w:r>
    </w:p>
    <w:p>
      <w:pPr>
        <w:spacing w:after="0" w:line="173"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This Release incorporates by reference (and acknowledges the enforceability of) the [Employment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Agreement-Managers] as executed by the Executive on [</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 and which obligates both the Executive and the Company to submit, except as prohibited by applicable law, any and all claims (including those involving this Release and the Plan) arising out of or related to the Executive’s employment with the Company to binding arbitration, with the exception of the Company’s right to seek injunctive relief in court to enforce the Restrictive Covenants.</w:t>
      </w:r>
    </w:p>
    <w:p>
      <w:pPr>
        <w:spacing w:after="0" w:line="187" w:lineRule="exact"/>
        <w:rPr>
          <w:rFonts w:ascii="Times New Roman" w:cs="Times New Roman" w:eastAsia="Times New Roman" w:hAnsi="Times New Roman"/>
          <w:sz w:val="20"/>
          <w:szCs w:val="20"/>
          <w:color w:val="auto"/>
        </w:rPr>
      </w:pPr>
    </w:p>
    <w:p>
      <w:pPr>
        <w:ind w:firstLine="656"/>
        <w:spacing w:after="0" w:line="287" w:lineRule="auto"/>
        <w:tabs>
          <w:tab w:leader="none" w:pos="127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To the extent not subject to federal law, this Release will be governed by and construed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 of the State of Florida applicable to contracts made and to be performed entirely within that state.</w:t>
      </w:r>
    </w:p>
    <w:p>
      <w:pPr>
        <w:spacing w:after="0" w:line="138" w:lineRule="exact"/>
        <w:rPr>
          <w:rFonts w:ascii="Times New Roman" w:cs="Times New Roman" w:eastAsia="Times New Roman" w:hAnsi="Times New Roman"/>
          <w:sz w:val="20"/>
          <w:szCs w:val="20"/>
          <w:color w:val="auto"/>
        </w:rPr>
      </w:pPr>
    </w:p>
    <w:p>
      <w:pPr>
        <w:ind w:firstLine="656"/>
        <w:spacing w:after="0" w:line="287" w:lineRule="auto"/>
        <w:tabs>
          <w:tab w:leader="none" w:pos="12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provision of this Release should be declared to be unenforceable by any administrative agency or court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law, then remainder of the Release shall remain in full force and effect.</w:t>
      </w:r>
    </w:p>
    <w:p>
      <w:pPr>
        <w:spacing w:after="0" w:line="138" w:lineRule="exact"/>
        <w:rPr>
          <w:rFonts w:ascii="Times New Roman" w:cs="Times New Roman" w:eastAsia="Times New Roman" w:hAnsi="Times New Roman"/>
          <w:sz w:val="20"/>
          <w:szCs w:val="20"/>
          <w:color w:val="auto"/>
        </w:rPr>
      </w:pPr>
    </w:p>
    <w:p>
      <w:pPr>
        <w:ind w:firstLine="656"/>
        <w:spacing w:after="0" w:line="287" w:lineRule="auto"/>
        <w:tabs>
          <w:tab w:leader="none" w:pos="12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Captions; Section Headings</w:t>
      </w:r>
      <w:r>
        <w:rPr>
          <w:rFonts w:ascii="Times New Roman" w:cs="Times New Roman" w:eastAsia="Times New Roman" w:hAnsi="Times New Roman"/>
          <w:sz w:val="20"/>
          <w:szCs w:val="20"/>
          <w:color w:val="auto"/>
        </w:rPr>
        <w:t>. Captions and section headings used herein are for convenience only and are not a part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and shall not be used in construing it.</w:t>
      </w:r>
    </w:p>
    <w:p>
      <w:pPr>
        <w:spacing w:after="0" w:line="151"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 Facsimile Signatures</w:t>
      </w:r>
      <w:r>
        <w:rPr>
          <w:rFonts w:ascii="Times New Roman" w:cs="Times New Roman" w:eastAsia="Times New Roman" w:hAnsi="Times New Roman"/>
          <w:sz w:val="20"/>
          <w:szCs w:val="20"/>
          <w:color w:val="auto"/>
        </w:rPr>
        <w:t>. This Release may be executed in any number of counterparts, each of which when so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and delivered shall be deemed an original instrument without the production of any other counterpart. Any signature on this Release, delivered by either party by photographic, facsimile or PDF shall be deemed to be an original signature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THE EXECUTIVE ACKNOWLEDGES THAT [HE][SHE] VOLUNTARILY ENTERS INTO THIS AGREEMENT WITH A FULL AND COMPLETE UNDERSTANDING OF ITS TERMS AND LEGAL EFFECT.</w:t>
      </w:r>
    </w:p>
    <w:p>
      <w:pPr>
        <w:spacing w:after="0" w:line="1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 * * *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the day and year indicated below.</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WATCH RESTAURANT GROUP, INC.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Insider Trading and Regulation FD Policy</w:t>
      </w:r>
    </w:p>
    <w:p>
      <w:pPr>
        <w:spacing w:after="0" w:line="25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INTRODUCTION</w:t>
      </w:r>
    </w:p>
    <w:p>
      <w:pPr>
        <w:spacing w:after="0" w:line="182"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0"/>
          <w:szCs w:val="20"/>
          <w:b w:val="1"/>
          <w:bCs w:val="1"/>
          <w:color w:val="auto"/>
        </w:rPr>
        <w:t>Purpose</w:t>
      </w:r>
    </w:p>
    <w:p>
      <w:pPr>
        <w:spacing w:after="0" w:line="206"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20"/>
          <w:szCs w:val="20"/>
          <w:color w:val="auto"/>
        </w:rPr>
        <w:t>The purpose of this Insider Trading and Regulation FD Policy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xml:space="preserve">”) is to help First Watch Restaurant Group, Inc. and its subsidiaries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comply with U.S. federal and state securities laws, as well as similar laws in other countries where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Company does business, and to preserve the reputation and integrity of the Company.</w:t>
      </w:r>
    </w:p>
    <w:p>
      <w:pPr>
        <w:spacing w:after="0" w:line="153"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What Is Insider Trading?</w:t>
      </w:r>
    </w:p>
    <w:p>
      <w:pPr>
        <w:spacing w:after="0" w:line="19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20"/>
          <w:szCs w:val="20"/>
          <w:color w:val="auto"/>
        </w:rPr>
        <w:t>Insider trading occurs when a person who is aware of material non-public information about a company buys or sells that company’s securities or provides material non-public information to another person who may trade on the basis of that information. Insider trading is illegal and strictly prohibited.</w:t>
      </w:r>
    </w:p>
    <w:p>
      <w:pPr>
        <w:spacing w:after="0" w:line="177"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What Securities are Subject to this Policy?</w:t>
      </w:r>
    </w:p>
    <w:p>
      <w:pPr>
        <w:spacing w:after="0" w:line="195"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9"/>
          <w:szCs w:val="19"/>
          <w:color w:val="auto"/>
        </w:rPr>
        <w:t>This Policy applies to purchases or sales of the Company’s securities (e.g., common stock, as well as options, puts, calls or other derivatives, whether or not issued by the Company) or any other type of securities that the Company may issue, such as preferred stock, debt, convertible debentures and warrants (collectively, “</w:t>
      </w:r>
      <w:r>
        <w:rPr>
          <w:rFonts w:ascii="Times New Roman" w:cs="Times New Roman" w:eastAsia="Times New Roman" w:hAnsi="Times New Roman"/>
          <w:sz w:val="19"/>
          <w:szCs w:val="19"/>
          <w:u w:val="single" w:color="auto"/>
          <w:color w:val="auto"/>
        </w:rPr>
        <w:t>Company Securities</w:t>
      </w:r>
      <w:r>
        <w:rPr>
          <w:rFonts w:ascii="Times New Roman" w:cs="Times New Roman" w:eastAsia="Times New Roman" w:hAnsi="Times New Roman"/>
          <w:sz w:val="19"/>
          <w:szCs w:val="19"/>
          <w:color w:val="auto"/>
        </w:rPr>
        <w:t>”). This Policy also prohibits trading in the securities of another company if you become aware of material non-public information about that company in the course of your position with the Company.</w:t>
      </w:r>
    </w:p>
    <w:p>
      <w:pPr>
        <w:spacing w:after="0" w:line="170" w:lineRule="exact"/>
        <w:rPr>
          <w:sz w:val="20"/>
          <w:szCs w:val="20"/>
          <w:color w:val="auto"/>
        </w:rPr>
      </w:pPr>
    </w:p>
    <w:p>
      <w:pPr>
        <w:ind w:left="1300" w:hanging="644"/>
        <w:spacing w:after="0"/>
        <w:tabs>
          <w:tab w:leader="none" w:pos="1300"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Who is subject to this Policy?</w:t>
      </w:r>
    </w:p>
    <w:p>
      <w:pPr>
        <w:spacing w:after="0" w:line="190" w:lineRule="exact"/>
        <w:rPr>
          <w:rFonts w:ascii="Times New Roman" w:cs="Times New Roman" w:eastAsia="Times New Roman" w:hAnsi="Times New Roman"/>
          <w:sz w:val="21"/>
          <w:szCs w:val="21"/>
          <w:b w:val="1"/>
          <w:bCs w:val="1"/>
          <w:color w:val="auto"/>
        </w:rPr>
      </w:pPr>
    </w:p>
    <w:p>
      <w:pPr>
        <w:ind w:left="440" w:hanging="432"/>
        <w:spacing w:after="0"/>
        <w:tabs>
          <w:tab w:leader="none" w:pos="440" w:val="left"/>
        </w:tabs>
        <w:numPr>
          <w:ilvl w:val="0"/>
          <w:numId w:val="6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Company Personnel</w:t>
      </w:r>
    </w:p>
    <w:p>
      <w:pPr>
        <w:spacing w:after="0" w:line="220"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This Policy applies to all directors, officers, employees and team members of the Company and its subsidiaries and consultants (collectively, “</w:t>
      </w:r>
      <w:r>
        <w:rPr>
          <w:rFonts w:ascii="Times New Roman" w:cs="Times New Roman" w:eastAsia="Times New Roman" w:hAnsi="Times New Roman"/>
          <w:sz w:val="20"/>
          <w:szCs w:val="20"/>
          <w:u w:val="single" w:color="auto"/>
          <w:color w:val="auto"/>
        </w:rPr>
        <w:t>Company Personnel</w:t>
      </w:r>
      <w:r>
        <w:rPr>
          <w:rFonts w:ascii="Times New Roman" w:cs="Times New Roman" w:eastAsia="Times New Roman" w:hAnsi="Times New Roman"/>
          <w:sz w:val="20"/>
          <w:szCs w:val="20"/>
          <w:color w:val="auto"/>
        </w:rPr>
        <w:t>”). The use of “you” throughout this Policy speaks directly to Company Personnel.</w:t>
      </w:r>
    </w:p>
    <w:p>
      <w:pPr>
        <w:spacing w:after="0" w:line="1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i w:val="1"/>
          <w:iCs w:val="1"/>
          <w:color w:val="auto"/>
        </w:rPr>
        <w:t>(2)</w:t>
      </w:r>
      <w:r>
        <w:rPr>
          <w:sz w:val="20"/>
          <w:szCs w:val="20"/>
          <w:color w:val="auto"/>
        </w:rPr>
        <w:tab/>
      </w:r>
      <w:r>
        <w:rPr>
          <w:rFonts w:ascii="Times New Roman" w:cs="Times New Roman" w:eastAsia="Times New Roman" w:hAnsi="Times New Roman"/>
          <w:sz w:val="19"/>
          <w:szCs w:val="19"/>
          <w:i w:val="1"/>
          <w:iCs w:val="1"/>
          <w:color w:val="auto"/>
        </w:rPr>
        <w:t>Family Members and Others Living in Your Household</w:t>
      </w:r>
    </w:p>
    <w:p>
      <w:pPr>
        <w:spacing w:after="0" w:line="23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This Policy also applies to (i) anyone who lives in the household of Company Personnel (whether or not family members) and (ii) any child, stepchild, grandchild, parent, stepparent, grandparent, spouse, sibling, mother-in-law, father-in-law, son-in-law, daughter-in-law, brother-in-law, or sister-in-law, and includes adoptive relationships, whose transactions are subject to your influence or control (collectively referred to as “</w:t>
      </w:r>
      <w:r>
        <w:rPr>
          <w:rFonts w:ascii="Times New Roman" w:cs="Times New Roman" w:eastAsia="Times New Roman" w:hAnsi="Times New Roman"/>
          <w:sz w:val="20"/>
          <w:szCs w:val="20"/>
          <w:u w:val="single" w:color="auto"/>
          <w:color w:val="auto"/>
        </w:rPr>
        <w:t>Family Members</w:t>
      </w:r>
      <w:r>
        <w:rPr>
          <w:rFonts w:ascii="Times New Roman" w:cs="Times New Roman" w:eastAsia="Times New Roman" w:hAnsi="Times New Roman"/>
          <w:sz w:val="20"/>
          <w:szCs w:val="20"/>
          <w:color w:val="auto"/>
        </w:rPr>
        <w:t>”). You are responsible for the transactions of Family Members and therefore should inform your Family Members of the need to confer with you before they trade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8" w:right="339" w:bottom="1440" w:gutter="0" w:footer="0" w:header="0"/>
        </w:sectPr>
      </w:pPr>
    </w:p>
    <w:bookmarkStart w:id="118" w:name="page119"/>
    <w:bookmarkEnd w:id="118"/>
    <w:p>
      <w:pPr>
        <w:spacing w:after="0"/>
        <w:tabs>
          <w:tab w:leader="none" w:pos="420" w:val="left"/>
        </w:tabs>
        <w:rPr>
          <w:sz w:val="20"/>
          <w:szCs w:val="20"/>
          <w:color w:val="auto"/>
        </w:rPr>
      </w:pPr>
      <w:r>
        <w:rPr>
          <w:rFonts w:ascii="Times New Roman" w:cs="Times New Roman" w:eastAsia="Times New Roman" w:hAnsi="Times New Roman"/>
          <w:sz w:val="20"/>
          <w:szCs w:val="20"/>
          <w:i w:val="1"/>
          <w:iCs w:val="1"/>
          <w:color w:val="auto"/>
        </w:rPr>
        <w:t>(3)</w:t>
      </w:r>
      <w:r>
        <w:rPr>
          <w:sz w:val="20"/>
          <w:szCs w:val="20"/>
          <w:color w:val="auto"/>
        </w:rPr>
        <w:tab/>
      </w:r>
      <w:r>
        <w:rPr>
          <w:rFonts w:ascii="Times New Roman" w:cs="Times New Roman" w:eastAsia="Times New Roman" w:hAnsi="Times New Roman"/>
          <w:sz w:val="19"/>
          <w:szCs w:val="19"/>
          <w:i w:val="1"/>
          <w:iCs w:val="1"/>
          <w:color w:val="auto"/>
        </w:rPr>
        <w:t>Controlled Entities</w:t>
      </w:r>
    </w:p>
    <w:p>
      <w:pPr>
        <w:spacing w:after="0" w:line="233"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This Policy also applies to any entities or accounts that are under the influence or control or are a beneficiary of, including corporations, partnerships or trusts, of Company Personnel or their Family Members (collectively, “</w:t>
      </w:r>
      <w:r>
        <w:rPr>
          <w:rFonts w:ascii="Times New Roman" w:cs="Times New Roman" w:eastAsia="Times New Roman" w:hAnsi="Times New Roman"/>
          <w:sz w:val="20"/>
          <w:szCs w:val="20"/>
          <w:u w:val="single" w:color="auto"/>
          <w:color w:val="auto"/>
        </w:rPr>
        <w:t>Controlled Entities</w:t>
      </w:r>
      <w:r>
        <w:rPr>
          <w:rFonts w:ascii="Times New Roman" w:cs="Times New Roman" w:eastAsia="Times New Roman" w:hAnsi="Times New Roman"/>
          <w:sz w:val="20"/>
          <w:szCs w:val="20"/>
          <w:color w:val="auto"/>
        </w:rPr>
        <w:t>”), and transactions by such Controlled Entities should be treated for the purposes of this Policy and applicable securities laws as if they were for the account of the Company Personnel or Family Member.</w:t>
      </w:r>
    </w:p>
    <w:p>
      <w:pPr>
        <w:spacing w:after="0" w:line="1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i w:val="1"/>
          <w:iCs w:val="1"/>
          <w:color w:val="auto"/>
        </w:rPr>
        <w:t>(4)</w:t>
      </w:r>
      <w:r>
        <w:rPr>
          <w:sz w:val="20"/>
          <w:szCs w:val="20"/>
          <w:color w:val="auto"/>
        </w:rPr>
        <w:tab/>
      </w:r>
      <w:r>
        <w:rPr>
          <w:rFonts w:ascii="Times New Roman" w:cs="Times New Roman" w:eastAsia="Times New Roman" w:hAnsi="Times New Roman"/>
          <w:sz w:val="19"/>
          <w:szCs w:val="19"/>
          <w:i w:val="1"/>
          <w:iCs w:val="1"/>
          <w:color w:val="auto"/>
        </w:rPr>
        <w:t>Designated Persons</w:t>
      </w:r>
    </w:p>
    <w:p>
      <w:pPr>
        <w:spacing w:after="0" w:line="23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In addition, as specified in Section III of this Policy, Designated Persons (as defined below) are subject to additional restrictions relating to the prohibition of purchases and sales of Company Securities.</w:t>
      </w:r>
    </w:p>
    <w:p>
      <w:pPr>
        <w:spacing w:after="0" w:line="169"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Questions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Questions about this Policy or any proposed transaction or communication should be directed to the Legal Department.</w:t>
      </w:r>
    </w:p>
    <w:p>
      <w:pPr>
        <w:spacing w:after="0" w:line="225" w:lineRule="exact"/>
        <w:rPr>
          <w:sz w:val="20"/>
          <w:szCs w:val="20"/>
          <w:color w:val="auto"/>
        </w:rPr>
      </w:pPr>
    </w:p>
    <w:p>
      <w:pPr>
        <w:ind w:left="1280" w:hanging="624"/>
        <w:spacing w:after="0"/>
        <w:tabs>
          <w:tab w:leader="none" w:pos="128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Individual Responsibility</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You are responsible for complying with this Policy, including for determining whether you are aware of material non-public information. Any action on the part of the Company, the Legal Department or Company Personnel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w:t>
      </w:r>
    </w:p>
    <w:p>
      <w:pPr>
        <w:spacing w:after="0" w:line="188"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INSIDER TRADING</w:t>
      </w:r>
    </w:p>
    <w:p>
      <w:pPr>
        <w:spacing w:after="0" w:line="168"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19"/>
          <w:szCs w:val="19"/>
          <w:b w:val="1"/>
          <w:bCs w:val="1"/>
          <w:color w:val="auto"/>
        </w:rPr>
        <w:t>Policy Prohibiting Insider Trading</w:t>
      </w:r>
    </w:p>
    <w:p>
      <w:pPr>
        <w:spacing w:after="0" w:line="199" w:lineRule="exact"/>
        <w:rPr>
          <w:sz w:val="20"/>
          <w:szCs w:val="20"/>
          <w:color w:val="auto"/>
        </w:rPr>
      </w:pPr>
    </w:p>
    <w:p>
      <w:pPr>
        <w:ind w:left="980" w:right="200" w:hanging="324"/>
        <w:spacing w:after="0" w:line="287" w:lineRule="auto"/>
        <w:tabs>
          <w:tab w:leader="none" w:pos="96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Trading on Material Non-Public Information. </w:t>
      </w:r>
      <w:r>
        <w:rPr>
          <w:rFonts w:ascii="Times New Roman" w:cs="Times New Roman" w:eastAsia="Times New Roman" w:hAnsi="Times New Roman"/>
          <w:sz w:val="20"/>
          <w:szCs w:val="20"/>
          <w:color w:val="auto"/>
        </w:rPr>
        <w:t>If you are aware of material non-public information about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may not, directly or indirectly, buy or sell Company Securities.</w:t>
      </w:r>
    </w:p>
    <w:p>
      <w:pPr>
        <w:spacing w:after="0" w:line="138" w:lineRule="exact"/>
        <w:rPr>
          <w:rFonts w:ascii="Times New Roman" w:cs="Times New Roman" w:eastAsia="Times New Roman" w:hAnsi="Times New Roman"/>
          <w:sz w:val="20"/>
          <w:szCs w:val="20"/>
          <w:color w:val="auto"/>
        </w:rPr>
      </w:pPr>
    </w:p>
    <w:p>
      <w:pPr>
        <w:ind w:left="980" w:right="20" w:hanging="324"/>
        <w:spacing w:after="0" w:line="258" w:lineRule="auto"/>
        <w:tabs>
          <w:tab w:leader="none" w:pos="96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Tipping. </w:t>
      </w:r>
      <w:r>
        <w:rPr>
          <w:rFonts w:ascii="Times New Roman" w:cs="Times New Roman" w:eastAsia="Times New Roman" w:hAnsi="Times New Roman"/>
          <w:sz w:val="20"/>
          <w:szCs w:val="20"/>
          <w:color w:val="auto"/>
        </w:rPr>
        <w:t>If you are aware of material non-public information about the Company, you may not communicate or pass (“</w:t>
      </w:r>
      <w:r>
        <w:rPr>
          <w:rFonts w:ascii="Times New Roman" w:cs="Times New Roman" w:eastAsia="Times New Roman" w:hAnsi="Times New Roman"/>
          <w:sz w:val="20"/>
          <w:szCs w:val="20"/>
          <w:u w:val="single" w:color="auto"/>
          <w:color w:val="auto"/>
        </w:rPr>
        <w:t>tip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information on to others outside the Company, including Family Members and friends. The federal securities laws impose liability on any person who “tips” or communicates material non-public information (the “</w:t>
      </w:r>
      <w:r>
        <w:rPr>
          <w:rFonts w:ascii="Times New Roman" w:cs="Times New Roman" w:eastAsia="Times New Roman" w:hAnsi="Times New Roman"/>
          <w:sz w:val="20"/>
          <w:szCs w:val="20"/>
          <w:u w:val="single" w:color="auto"/>
          <w:color w:val="auto"/>
        </w:rPr>
        <w:t>tipper</w:t>
      </w:r>
      <w:r>
        <w:rPr>
          <w:rFonts w:ascii="Times New Roman" w:cs="Times New Roman" w:eastAsia="Times New Roman" w:hAnsi="Times New Roman"/>
          <w:sz w:val="20"/>
          <w:szCs w:val="20"/>
          <w:color w:val="auto"/>
        </w:rPr>
        <w:t>”) to another person or entity (the “</w:t>
      </w:r>
      <w:r>
        <w:rPr>
          <w:rFonts w:ascii="Times New Roman" w:cs="Times New Roman" w:eastAsia="Times New Roman" w:hAnsi="Times New Roman"/>
          <w:sz w:val="20"/>
          <w:szCs w:val="20"/>
          <w:u w:val="single" w:color="auto"/>
          <w:color w:val="auto"/>
        </w:rPr>
        <w:t>tippee</w:t>
      </w:r>
      <w:r>
        <w:rPr>
          <w:rFonts w:ascii="Times New Roman" w:cs="Times New Roman" w:eastAsia="Times New Roman" w:hAnsi="Times New Roman"/>
          <w:sz w:val="20"/>
          <w:szCs w:val="20"/>
          <w:color w:val="auto"/>
        </w:rPr>
        <w:t>”), who then trades on the basis of the information. Penalties may apply regardless of whether the tipper derives any benefits from the tippee’s trading activities.</w:t>
      </w:r>
    </w:p>
    <w:p>
      <w:pPr>
        <w:spacing w:after="0" w:line="1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Moreover, if you, in the course of working for the Company, learn of material non-public information about a company with which the Company does business, including a customer or supplier of the Company, you may not trade in, take advantage of, or share information about that company’s securities until the information becomes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00"/>
          </w:cols>
          <w:pgMar w:left="320" w:top="1409" w:right="479" w:bottom="1440" w:gutter="0" w:footer="0" w:header="0"/>
        </w:sectPr>
      </w:pPr>
    </w:p>
    <w:bookmarkStart w:id="119" w:name="page120"/>
    <w:bookmarkEnd w:id="119"/>
    <w:p>
      <w:pPr>
        <w:ind w:left="1300" w:hanging="644"/>
        <w:spacing w:after="0"/>
        <w:tabs>
          <w:tab w:leader="none" w:pos="1300" w:val="left"/>
        </w:tabs>
        <w:numPr>
          <w:ilvl w:val="1"/>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What is Material, Non-Public Information?</w:t>
      </w:r>
    </w:p>
    <w:p>
      <w:pPr>
        <w:spacing w:after="0" w:line="190" w:lineRule="exact"/>
        <w:rPr>
          <w:rFonts w:ascii="Times New Roman" w:cs="Times New Roman" w:eastAsia="Times New Roman" w:hAnsi="Times New Roman"/>
          <w:sz w:val="21"/>
          <w:szCs w:val="21"/>
          <w:b w:val="1"/>
          <w:bCs w:val="1"/>
          <w:color w:val="auto"/>
        </w:rPr>
      </w:pPr>
    </w:p>
    <w:p>
      <w:pPr>
        <w:ind w:left="440" w:hanging="432"/>
        <w:spacing w:after="0"/>
        <w:tabs>
          <w:tab w:leader="none" w:pos="440" w:val="left"/>
        </w:tabs>
        <w:numPr>
          <w:ilvl w:val="0"/>
          <w:numId w:val="7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Identifying Material Information</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a general rule, you should consider material any information that a reasonable investor would consider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you should carefully consider how a transaction may be construed by enforcement authorities who will have the benefit of hindsight. While it is not possible to define all categories of material information, some examples of information that ordinarily would be regarded as material are:</w:t>
      </w:r>
    </w:p>
    <w:p>
      <w:pPr>
        <w:spacing w:after="0" w:line="192" w:lineRule="exact"/>
        <w:rPr>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proposed acquisition, sale, joint venture, merger or tender offer;</w:t>
      </w:r>
    </w:p>
    <w:p>
      <w:pPr>
        <w:spacing w:after="0" w:line="21"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 contracts, renewals and terminations;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Projected future earnings or losses or other earnings guidance;</w:t>
      </w:r>
    </w:p>
    <w:p>
      <w:pPr>
        <w:spacing w:after="0" w:line="1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earnings guidance or projections, if any;</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expansion or cutback of operations, including related to restaurants opening or closing;</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to vendor or supplier pricing;</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management or business developments;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executive management;</w:t>
      </w:r>
    </w:p>
    <w:p>
      <w:pPr>
        <w:spacing w:after="0" w:line="1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threatened major lawsuits or legal settlements;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cybersecurity incidents or privacy breaches;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customer quality claims;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or results of regulatory proceedings;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major supplier or key vendor;</w:t>
      </w:r>
    </w:p>
    <w:p>
      <w:pPr>
        <w:spacing w:after="0" w:line="1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restructuring;</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Borrowing activities, including contemplated financings and refinancings (other than in the ordinary course);</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dividend policy, the declaration of a stock split, or an offering of additional securities;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actual purchases, or the anticipated timing of purchases of a repurchase program for Company Securities;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pricing or cost structure;</w:t>
      </w:r>
    </w:p>
    <w:p>
      <w:pPr>
        <w:spacing w:after="0" w:line="1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marketing changes;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auditors or notification that the auditor’s reports may no longer be relied upon;</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Commercialization of a significant new product, process, or service;</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product from the market, including any recall;</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ban on trading in Company Securities or the securities of another company;</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transactions in Company Securities;</w:t>
      </w:r>
    </w:p>
    <w:p>
      <w:pPr>
        <w:spacing w:after="0" w:line="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weakness in internal controls of financial reporting; or</w:t>
      </w:r>
    </w:p>
    <w:p>
      <w:pPr>
        <w:spacing w:after="0" w:line="1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the existence of severe liquidity problems.</w:t>
      </w:r>
    </w:p>
    <w:p>
      <w:pPr>
        <w:spacing w:after="0" w:line="18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When Is Information Considered “Public”?</w:t>
      </w:r>
    </w:p>
    <w:p>
      <w:pPr>
        <w:spacing w:after="0" w:line="206"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Information that has not been disclosed to the public is generally considered to be non-public information. In order to establish that the information has been disclosed to the public, it may be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409"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color w:val="auto"/>
        </w:rPr>
        <w:t>necessary to demonstrate that the information has been widely disseminated. The following are considered methods of public dissemination:</w:t>
      </w:r>
    </w:p>
    <w:p>
      <w:pPr>
        <w:spacing w:after="0" w:line="241" w:lineRule="exact"/>
        <w:rPr>
          <w:sz w:val="20"/>
          <w:szCs w:val="20"/>
          <w:color w:val="auto"/>
        </w:rPr>
      </w:pPr>
    </w:p>
    <w:p>
      <w:pPr>
        <w:ind w:left="640" w:hanging="308"/>
        <w:spacing w:after="0"/>
        <w:tabs>
          <w:tab w:leader="none" w:pos="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Form 8-K or other document filed with, or submitted to, the U.S.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press release; or</w:t>
      </w:r>
    </w:p>
    <w:p>
      <w:pPr>
        <w:spacing w:after="0" w:line="6" w:lineRule="exact"/>
        <w:rPr>
          <w:rFonts w:ascii="Times New Roman" w:cs="Times New Roman" w:eastAsia="Times New Roman" w:hAnsi="Times New Roman"/>
          <w:sz w:val="20"/>
          <w:szCs w:val="20"/>
          <w:color w:val="auto"/>
        </w:rPr>
      </w:pPr>
    </w:p>
    <w:p>
      <w:pPr>
        <w:ind w:left="660" w:hanging="328"/>
        <w:spacing w:after="0" w:line="279" w:lineRule="auto"/>
        <w:tabs>
          <w:tab w:leader="none" w:pos="64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conference call or webcast of such a call that is open to the public at large, and has been the subject of adequate advance notice within the meaning of Regulation FD, as promulgated under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contrast, material non-public information is generally not considered to be publicly disseminated if it is:</w:t>
      </w:r>
    </w:p>
    <w:p>
      <w:pPr>
        <w:spacing w:after="0" w:line="229" w:lineRule="exact"/>
        <w:rPr>
          <w:sz w:val="20"/>
          <w:szCs w:val="20"/>
          <w:color w:val="auto"/>
        </w:rPr>
      </w:pPr>
    </w:p>
    <w:p>
      <w:pPr>
        <w:ind w:left="660" w:right="40" w:hanging="328"/>
        <w:spacing w:after="0" w:line="254" w:lineRule="auto"/>
        <w:tabs>
          <w:tab w:leader="none" w:pos="64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provided to the Company’s employees, or if it is only available to a select group of analysts, brokers, and institutional investors; or</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communicated through internet forums, blogs or social media (e.g., Twitter, Facebook or LinkedIn) or the Company’s website.</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Once information is widely disseminated, it is still necessary to afford the investing public with sufficient time to absorb the information. As a general rule, information should not be considered fully absorbed by the marketplace until after one full trading day has elapsed since the day on which the information is released. Depending on the particular circumstances, the Company may determine that a longer or shorter period should apply to the release of specific material non-public information.</w:t>
      </w:r>
    </w:p>
    <w:p>
      <w:pPr>
        <w:spacing w:after="0" w:line="16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i w:val="1"/>
          <w:iCs w:val="1"/>
          <w:color w:val="auto"/>
        </w:rPr>
        <w:t>(3)</w:t>
      </w:r>
      <w:r>
        <w:rPr>
          <w:sz w:val="20"/>
          <w:szCs w:val="20"/>
          <w:color w:val="auto"/>
        </w:rPr>
        <w:tab/>
      </w:r>
      <w:r>
        <w:rPr>
          <w:rFonts w:ascii="Times New Roman" w:cs="Times New Roman" w:eastAsia="Times New Roman" w:hAnsi="Times New Roman"/>
          <w:sz w:val="19"/>
          <w:szCs w:val="19"/>
          <w:i w:val="1"/>
          <w:iCs w:val="1"/>
          <w:color w:val="auto"/>
        </w:rPr>
        <w:t>Confidentiality of Material, Non-Public Information</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Company Personnel who have access to material, non-public information must take special precautions to keep it confidential, including by storing and communicating all files and documents containing the material, non-public information using the Company’s information systems, and may only disclose material, non-public information to authorized parties for business purposes. Any disclosure of material, non-public information may only be made by Authorized Spokespersons (as defined below) and must be made at the time and in the manner required to meet legal requirements, which may impact the timing or format of planned internal or external communications. Teams working on confidential projects may be required to take additional confidentiality precautions, such as properly labelling material, non-public information to indicate how it should be handled, distributed and destroyed or maintaining a list of individuals to whom sensitive information has been disclosed.</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Even though Company Personnel must generally keep material, non-public information confidential, this does not limit or interfere with their ability, without notice to or authorization of the Company, to communicate in good faith with any government agency for the purpose of reporting a possible violation of law, or to participate in any investigation or proceeding that may be conducted by any government agency, including by providing documents or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149465" cy="316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49465" cy="316865"/>
                    </a:xfrm>
                    <a:prstGeom prst="rect">
                      <a:avLst/>
                    </a:prstGeom>
                    <a:noFill/>
                  </pic:spPr>
                </pic:pic>
              </a:graphicData>
            </a:graphic>
          </wp:anchor>
        </w:drawing>
      </w:r>
    </w:p>
    <w:p>
      <w:pPr>
        <w:spacing w:after="0" w:line="256" w:lineRule="exact"/>
        <w:rPr>
          <w:sz w:val="20"/>
          <w:szCs w:val="20"/>
          <w:color w:val="auto"/>
        </w:rPr>
      </w:pPr>
    </w:p>
    <w:p>
      <w:pPr>
        <w:ind w:left="80" w:right="240"/>
        <w:spacing w:after="0" w:line="235" w:lineRule="auto"/>
        <w:rPr>
          <w:sz w:val="20"/>
          <w:szCs w:val="20"/>
          <w:color w:val="auto"/>
        </w:rPr>
      </w:pPr>
      <w:r>
        <w:rPr>
          <w:rFonts w:ascii="Times New Roman" w:cs="Times New Roman" w:eastAsia="Times New Roman" w:hAnsi="Times New Roman"/>
          <w:sz w:val="20"/>
          <w:szCs w:val="20"/>
          <w:b w:val="1"/>
          <w:bCs w:val="1"/>
          <w:color w:val="auto"/>
        </w:rPr>
        <w:t>If you have any question as to whether information is material or is publicly available, please err on the side of caution and direct an inquiry to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13" w:right="359" w:bottom="1440" w:gutter="0" w:footer="0" w:header="0"/>
        </w:sectPr>
      </w:pPr>
    </w:p>
    <w:bookmarkStart w:id="121" w:name="page122"/>
    <w:bookmarkEnd w:id="121"/>
    <w:p>
      <w:pPr>
        <w:ind w:left="660" w:hanging="652"/>
        <w:spacing w:after="0"/>
        <w:tabs>
          <w:tab w:leader="none" w:pos="66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CERTAIN ADDITIONAL RESTRICTIONS</w:t>
      </w:r>
    </w:p>
    <w:p>
      <w:pPr>
        <w:spacing w:after="0" w:line="191"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Designated Persons</w:t>
      </w:r>
    </w:p>
    <w:p>
      <w:pPr>
        <w:spacing w:after="0" w:line="18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All Designated Persons are subject to the Blackout Periods restrictions described in this Section III. Designated Persons may not give trading advice of any kind about the Company, whether or not such Designated Person is aware of material non-public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are “Designated Persons”:</w:t>
      </w:r>
    </w:p>
    <w:p>
      <w:pPr>
        <w:spacing w:after="0" w:line="216" w:lineRule="exact"/>
        <w:rPr>
          <w:sz w:val="20"/>
          <w:szCs w:val="20"/>
          <w:color w:val="auto"/>
        </w:rPr>
      </w:pPr>
    </w:p>
    <w:p>
      <w:pPr>
        <w:ind w:left="960" w:hanging="304"/>
        <w:spacing w:after="0"/>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and officers (as defined in Rule 16a-1(f) of the Exchange Act) of the Company;</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Family Members and Controlled Entities of directors and officers of the Company; and</w:t>
      </w:r>
    </w:p>
    <w:p>
      <w:pPr>
        <w:spacing w:after="0" w:line="215" w:lineRule="exact"/>
        <w:rPr>
          <w:rFonts w:ascii="Times New Roman" w:cs="Times New Roman" w:eastAsia="Times New Roman" w:hAnsi="Times New Roman"/>
          <w:sz w:val="20"/>
          <w:szCs w:val="20"/>
          <w:color w:val="auto"/>
        </w:rPr>
      </w:pPr>
    </w:p>
    <w:p>
      <w:pPr>
        <w:jc w:val="both"/>
        <w:ind w:left="980" w:right="280" w:hanging="324"/>
        <w:spacing w:after="0" w:line="261" w:lineRule="auto"/>
        <w:tabs>
          <w:tab w:leader="none" w:pos="96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in key financial reporting or communication roles and such other persons, in each case, as may be designated from time to time by the General Counsel, or his or her designee in the Legal Department (designated individuals will be identified and contacted through a separate memorandum).</w:t>
      </w:r>
    </w:p>
    <w:p>
      <w:pPr>
        <w:spacing w:after="0" w:line="177"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Blackout Periods</w:t>
      </w:r>
    </w:p>
    <w:p>
      <w:pPr>
        <w:spacing w:after="0" w:line="195"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Subject to Section III.F below, Designated Persons may not conduct transactions (for their own or related accounts) involving Company Securities during the following periods (the “</w:t>
      </w:r>
      <w:r>
        <w:rPr>
          <w:rFonts w:ascii="Times New Roman" w:cs="Times New Roman" w:eastAsia="Times New Roman" w:hAnsi="Times New Roman"/>
          <w:sz w:val="20"/>
          <w:szCs w:val="20"/>
          <w:u w:val="single" w:color="auto"/>
          <w:color w:val="auto"/>
        </w:rPr>
        <w:t>Blackout Periods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980" w:right="40" w:hanging="324"/>
        <w:spacing w:after="0" w:line="257" w:lineRule="auto"/>
        <w:tabs>
          <w:tab w:leader="none" w:pos="96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in any fiscal quarter commencing 15 calendar days prior to the end of that quarter, and in each case ending after the first full trading day after the public disclosure of the financial results for such fiscal quarter or year. If public disclosure of the financial results occurs on a trading day after the markets open, then such date of disclosure shall not be considered the first trading day with respect to such public disclosure. For example, trading would be permissible on a Tuesday following a Monday release before trading hours and on a Wednesday following a Monday release during or after trading hours.</w:t>
      </w:r>
    </w:p>
    <w:p>
      <w:pPr>
        <w:spacing w:after="0" w:line="18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period designated in writing by the General Counsel, or his or her designee in the Legal Department.</w:t>
      </w:r>
    </w:p>
    <w:p>
      <w:pPr>
        <w:spacing w:after="0" w:line="35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The Chief Financial Officer, the General Counsel, or the General Counsel’s designee in the Legal Department will send out a notice at least annually setting forth the specific dates for the quarterly Blackout Periods. If you are made aware of the existence of an event-specific Blackout Period, you should not disclose the existence of such Blackout Period to any other person.</w:t>
      </w:r>
    </w:p>
    <w:p>
      <w:pPr>
        <w:spacing w:after="0" w:line="157"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Pre-Clearance</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 xml:space="preserve">All directors and officers (as defined in Rule 16a-1(f) of the Exchange Act) of the Company must clear purchases or sales in Company Securities with the General Counsel, or his or her designee in the Legal Department, </w:t>
      </w:r>
      <w:r>
        <w:rPr>
          <w:rFonts w:ascii="Times New Roman" w:cs="Times New Roman" w:eastAsia="Times New Roman" w:hAnsi="Times New Roman"/>
          <w:sz w:val="20"/>
          <w:szCs w:val="20"/>
          <w:b w:val="1"/>
          <w:bCs w:val="1"/>
          <w:u w:val="single" w:color="auto"/>
          <w:color w:val="auto"/>
        </w:rPr>
        <w:t>before</w:t>
      </w:r>
      <w:r>
        <w:rPr>
          <w:rFonts w:ascii="Times New Roman" w:cs="Times New Roman" w:eastAsia="Times New Roman" w:hAnsi="Times New Roman"/>
          <w:sz w:val="20"/>
          <w:szCs w:val="20"/>
          <w:color w:val="auto"/>
        </w:rPr>
        <w:t xml:space="preserve"> the trade may occur. The General Counsel, or his or her designee in the Legal Department, must clear purchases or sales in Company Securities with the Chief Financial Officer, before the trade may occur. The General Counsel, or his or her designee in the Legal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409" w:right="379" w:bottom="1440" w:gutter="0" w:footer="0" w:header="0"/>
        </w:sectPr>
      </w:pPr>
    </w:p>
    <w:bookmarkStart w:id="122" w:name="page123"/>
    <w:bookmarkEnd w:id="122"/>
    <w:p>
      <w:pPr>
        <w:ind w:right="880"/>
        <w:spacing w:after="0" w:line="283" w:lineRule="auto"/>
        <w:rPr>
          <w:sz w:val="20"/>
          <w:szCs w:val="20"/>
          <w:color w:val="auto"/>
        </w:rPr>
      </w:pPr>
      <w:r>
        <w:rPr>
          <w:rFonts w:ascii="Times New Roman" w:cs="Times New Roman" w:eastAsia="Times New Roman" w:hAnsi="Times New Roman"/>
          <w:sz w:val="20"/>
          <w:szCs w:val="20"/>
          <w:color w:val="auto"/>
        </w:rPr>
        <w:t>Department, may designate and provide notice to other key employees who may, from time to time, be subject to the pre-clearance procedures under this Policy.</w:t>
      </w:r>
    </w:p>
    <w:p>
      <w:pPr>
        <w:spacing w:after="0" w:line="1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 xml:space="preserve">Directors and officers seeking to pre-clear a trade in Company Securities must notify the General Counsel, or his or her designee in the Legal Department, in writing of the desire to conduct a trade at least three (3) business days before the date of the proposed transaction. Directors and officers should be prepared to provide the dates on which the proposed transactions are expected to occur and to identify the broker-dealer or any other investment professional responsible for executing the trade. The General Counsel, or his or her designee in the Legal Department, will inform the requesting individual of a decision with respect to the request as soon as possible after considering all the circumstances relevant to his/her determination. The General Counsel, or his or her designee in the Legal Department, is under no obligation to approve a transaction submitted for pre-clearance, and may determine not to permit the transaction. If the General Counsel, or his or her designee in the Legal Department, has not responded to a request for pre-clearance, </w:t>
      </w:r>
      <w:r>
        <w:rPr>
          <w:rFonts w:ascii="Times New Roman" w:cs="Times New Roman" w:eastAsia="Times New Roman" w:hAnsi="Times New Roman"/>
          <w:sz w:val="20"/>
          <w:szCs w:val="20"/>
          <w:b w:val="1"/>
          <w:bCs w:val="1"/>
          <w:u w:val="single" w:color="auto"/>
          <w:color w:val="auto"/>
        </w:rPr>
        <w:t>do not</w:t>
      </w:r>
      <w:r>
        <w:rPr>
          <w:rFonts w:ascii="Times New Roman" w:cs="Times New Roman" w:eastAsia="Times New Roman" w:hAnsi="Times New Roman"/>
          <w:sz w:val="20"/>
          <w:szCs w:val="20"/>
          <w:color w:val="auto"/>
        </w:rPr>
        <w:t xml:space="preserve"> trade in the Company Securities. If approved, the transaction must occur within three (3) business days after receipt of approval (so long as the transaction is not during a Blackout Period). If permission is denied, refrain from initiating any transaction in Company Securities, and do not inform any other person of the restriction. Pre-clearance requests will not be granted during a Blackout Period.</w:t>
      </w:r>
    </w:p>
    <w:p>
      <w:pPr>
        <w:spacing w:after="0" w:line="20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Designated Persons must also clear gifts and other transfers of Company Securities with the General Counsel, or his or her designee in the Legal Department, before the gift or other transfer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49465" cy="8058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49465" cy="805815"/>
                    </a:xfrm>
                    <a:prstGeom prst="rect">
                      <a:avLst/>
                    </a:prstGeom>
                    <a:noFill/>
                  </pic:spPr>
                </pic:pic>
              </a:graphicData>
            </a:graphic>
          </wp:anchor>
        </w:drawing>
      </w:r>
    </w:p>
    <w:p>
      <w:pPr>
        <w:spacing w:after="0" w:line="338" w:lineRule="exact"/>
        <w:rPr>
          <w:sz w:val="20"/>
          <w:szCs w:val="20"/>
          <w:color w:val="auto"/>
        </w:rPr>
      </w:pPr>
    </w:p>
    <w:p>
      <w:pPr>
        <w:ind w:left="80" w:right="32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Even if approval to trade pursuant to the pre-clearance process is obtained in writing, or pre-clearance is not required for a particular transaction, Designated Persons may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b w:val="1"/>
          <w:bCs w:val="1"/>
          <w:color w:val="auto"/>
        </w:rPr>
        <w:t xml:space="preserve"> trade in the Company Securities if he or she is aware of material, non-public information about the Company. This Policy does not require pre-clearance of transactions in any other company’s securities unless otherwise indicated in writing by the General Counsel, or his or her designee in the Legal Department.</w:t>
      </w:r>
    </w:p>
    <w:p>
      <w:pPr>
        <w:spacing w:after="0" w:line="200" w:lineRule="exact"/>
        <w:rPr>
          <w:sz w:val="20"/>
          <w:szCs w:val="20"/>
          <w:color w:val="auto"/>
        </w:rPr>
      </w:pPr>
    </w:p>
    <w:p>
      <w:pPr>
        <w:spacing w:after="0" w:line="248"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Prohibited and Special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addition to the other restrictions and prohibitions contained in this Policy, Designated Persons </w:t>
      </w:r>
      <w:r>
        <w:rPr>
          <w:rFonts w:ascii="Times New Roman" w:cs="Times New Roman" w:eastAsia="Times New Roman" w:hAnsi="Times New Roman"/>
          <w:sz w:val="20"/>
          <w:szCs w:val="20"/>
          <w:b w:val="1"/>
          <w:bCs w:val="1"/>
          <w:u w:val="single" w:color="auto"/>
          <w:color w:val="auto"/>
        </w:rPr>
        <w:t>may not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980" w:right="60" w:hanging="324"/>
        <w:spacing w:after="0" w:line="263" w:lineRule="auto"/>
        <w:tabs>
          <w:tab w:leader="none" w:pos="96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Short-Term Trading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Sell any Company Securities of the same class during the six months following a purchase of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Securities of that class (or vice versa). Shares purchased through the Company’s equity plans and transactions with the Company are not subject to this restriction</w:t>
      </w:r>
      <w:r>
        <w:rPr>
          <w:rFonts w:ascii="Times New Roman" w:cs="Times New Roman" w:eastAsia="Times New Roman" w:hAnsi="Times New Roman"/>
          <w:sz w:val="20"/>
          <w:szCs w:val="20"/>
          <w:b w:val="1"/>
          <w:bCs w:val="1"/>
          <w:i w:val="1"/>
          <w:iCs w:val="1"/>
          <w:color w:val="auto"/>
        </w:rPr>
        <w:t>.</w:t>
      </w:r>
    </w:p>
    <w:p>
      <w:pPr>
        <w:spacing w:after="0" w:line="175" w:lineRule="exact"/>
        <w:rPr>
          <w:rFonts w:ascii="Times New Roman" w:cs="Times New Roman" w:eastAsia="Times New Roman" w:hAnsi="Times New Roman"/>
          <w:sz w:val="20"/>
          <w:szCs w:val="20"/>
          <w:color w:val="auto"/>
        </w:rPr>
      </w:pPr>
    </w:p>
    <w:p>
      <w:pPr>
        <w:jc w:val="both"/>
        <w:ind w:left="980" w:right="220" w:hanging="324"/>
        <w:spacing w:after="0" w:line="263" w:lineRule="auto"/>
        <w:tabs>
          <w:tab w:leader="none" w:pos="96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Short Sales</w:t>
      </w:r>
      <w:r>
        <w:rPr>
          <w:rFonts w:ascii="Times New Roman" w:cs="Times New Roman" w:eastAsia="Times New Roman" w:hAnsi="Times New Roman"/>
          <w:sz w:val="20"/>
          <w:szCs w:val="20"/>
          <w:color w:val="auto"/>
        </w:rPr>
        <w:t>: Engage in short sales (selling securities that you do not own, with the intention of buying the securities at a lower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price in the future) of Company Securities. In addition, Section 16(c) of the Exchange Act prohibits directors and officers from engaging in short sales.</w:t>
      </w:r>
    </w:p>
    <w:p>
      <w:pPr>
        <w:spacing w:after="0" w:line="161" w:lineRule="exact"/>
        <w:rPr>
          <w:rFonts w:ascii="Times New Roman" w:cs="Times New Roman" w:eastAsia="Times New Roman" w:hAnsi="Times New Roman"/>
          <w:sz w:val="20"/>
          <w:szCs w:val="20"/>
          <w:color w:val="auto"/>
        </w:rPr>
      </w:pPr>
    </w:p>
    <w:p>
      <w:pPr>
        <w:ind w:left="980" w:right="60" w:hanging="324"/>
        <w:spacing w:after="0" w:line="287" w:lineRule="auto"/>
        <w:tabs>
          <w:tab w:leader="none" w:pos="96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Publicly Traded Options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Engage in Company Securities in the form of puts, calls, or other derivative securities, on an exchange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in any other organized market.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3" w:right="339" w:bottom="1440" w:gutter="0" w:footer="0" w:header="0"/>
        </w:sectPr>
      </w:pPr>
    </w:p>
    <w:bookmarkStart w:id="123" w:name="page124"/>
    <w:bookmarkEnd w:id="123"/>
    <w:p>
      <w:pPr>
        <w:ind w:left="980" w:right="120" w:hanging="324"/>
        <w:spacing w:after="0" w:line="263" w:lineRule="auto"/>
        <w:tabs>
          <w:tab w:leader="none" w:pos="96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Pledging: </w:t>
      </w:r>
      <w:r>
        <w:rPr>
          <w:rFonts w:ascii="Times New Roman" w:cs="Times New Roman" w:eastAsia="Times New Roman" w:hAnsi="Times New Roman"/>
          <w:sz w:val="20"/>
          <w:szCs w:val="20"/>
          <w:color w:val="auto"/>
        </w:rPr>
        <w:t>Pledge, hypothecate, or otherwise encumber shares of Company Securities as collateral for indebtedness.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includes but is not limited to holding such shares in a margin account or any other account that could cause Company Securities to be subject to a margin call or otherwise be available as collateral for a margin loan.</w:t>
      </w:r>
    </w:p>
    <w:p>
      <w:pPr>
        <w:spacing w:after="0" w:line="175" w:lineRule="exact"/>
        <w:rPr>
          <w:rFonts w:ascii="Times New Roman" w:cs="Times New Roman" w:eastAsia="Times New Roman" w:hAnsi="Times New Roman"/>
          <w:sz w:val="20"/>
          <w:szCs w:val="20"/>
          <w:color w:val="auto"/>
        </w:rPr>
      </w:pPr>
    </w:p>
    <w:p>
      <w:pPr>
        <w:ind w:left="980" w:right="40" w:hanging="324"/>
        <w:spacing w:after="0" w:line="260" w:lineRule="auto"/>
        <w:tabs>
          <w:tab w:leader="none" w:pos="96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Hedging</w:t>
      </w:r>
      <w:r>
        <w:rPr>
          <w:rFonts w:ascii="Times New Roman" w:cs="Times New Roman" w:eastAsia="Times New Roman" w:hAnsi="Times New Roman"/>
          <w:sz w:val="20"/>
          <w:szCs w:val="20"/>
          <w:color w:val="auto"/>
        </w:rPr>
        <w:t>: Purchase a financial instrument or entering into any transaction that is designed to hedge, establish downside price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protection or otherwise offset declines in the market value of Company Securities, including puts, calls, prepaid variable forward contracts, equity swaps, collars, exchange funds (excluding broad-based index funds) and other financial instruments that are designed to or have the effect of hedging or offsetting any decrease in the market value of Company Securities.</w:t>
      </w:r>
    </w:p>
    <w:p>
      <w:pPr>
        <w:spacing w:after="0" w:line="164" w:lineRule="exact"/>
        <w:rPr>
          <w:rFonts w:ascii="Times New Roman" w:cs="Times New Roman" w:eastAsia="Times New Roman" w:hAnsi="Times New Roman"/>
          <w:sz w:val="20"/>
          <w:szCs w:val="20"/>
          <w:color w:val="auto"/>
        </w:rPr>
      </w:pPr>
    </w:p>
    <w:p>
      <w:pPr>
        <w:ind w:left="980" w:right="80" w:hanging="324"/>
        <w:spacing w:after="0" w:line="287" w:lineRule="auto"/>
        <w:tabs>
          <w:tab w:leader="none" w:pos="96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Standing and Limit Orders</w:t>
      </w:r>
      <w:r>
        <w:rPr>
          <w:rFonts w:ascii="Times New Roman" w:cs="Times New Roman" w:eastAsia="Times New Roman" w:hAnsi="Times New Roman"/>
          <w:sz w:val="20"/>
          <w:szCs w:val="20"/>
          <w:color w:val="auto"/>
        </w:rPr>
        <w:t>: Place standing or limit orders on Company Securities outside of a properly established Rule 10b5-1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 or outside of the three business day period following pre-clearance approval.</w:t>
      </w:r>
    </w:p>
    <w:p>
      <w:pPr>
        <w:spacing w:after="0" w:line="138"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Transactions under Company Plans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limitations of this Policy do not apply to the following, except as specifically noted:</w:t>
      </w:r>
    </w:p>
    <w:p>
      <w:pPr>
        <w:spacing w:after="0" w:line="225" w:lineRule="exact"/>
        <w:rPr>
          <w:sz w:val="20"/>
          <w:szCs w:val="20"/>
          <w:color w:val="auto"/>
        </w:rPr>
      </w:pPr>
    </w:p>
    <w:p>
      <w:pPr>
        <w:ind w:left="980" w:right="60" w:hanging="324"/>
        <w:spacing w:after="0" w:line="255" w:lineRule="auto"/>
        <w:tabs>
          <w:tab w:leader="none" w:pos="96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Stock Option Exercises</w:t>
      </w:r>
      <w:r>
        <w:rPr>
          <w:rFonts w:ascii="Times New Roman" w:cs="Times New Roman" w:eastAsia="Times New Roman" w:hAnsi="Times New Roman"/>
          <w:sz w:val="20"/>
          <w:szCs w:val="20"/>
          <w:color w:val="auto"/>
        </w:rPr>
        <w:t>: Exercise of an employee stock option acquired pursuant to the Company’s plans, or to the exercise of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tax withholding right pursuant to which a person has elected to have the Company withhold shares subject to an option to satisfy tax withholding requirements. This Policy does apply, however, to any sale of the underlying stock or to a cashless exercise of the option through a broker, as this entails selling a portion of the underlying stock to cover the cost of exercise.</w:t>
      </w:r>
    </w:p>
    <w:p>
      <w:pPr>
        <w:spacing w:after="0" w:line="183" w:lineRule="exact"/>
        <w:rPr>
          <w:rFonts w:ascii="Times New Roman" w:cs="Times New Roman" w:eastAsia="Times New Roman" w:hAnsi="Times New Roman"/>
          <w:sz w:val="20"/>
          <w:szCs w:val="20"/>
          <w:color w:val="auto"/>
        </w:rPr>
      </w:pPr>
    </w:p>
    <w:p>
      <w:pPr>
        <w:ind w:left="980" w:hanging="324"/>
        <w:spacing w:after="0" w:line="263" w:lineRule="auto"/>
        <w:tabs>
          <w:tab w:leader="none" w:pos="96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Restricted Stock Awards</w:t>
      </w:r>
      <w:r>
        <w:rPr>
          <w:rFonts w:ascii="Times New Roman" w:cs="Times New Roman" w:eastAsia="Times New Roman" w:hAnsi="Times New Roman"/>
          <w:sz w:val="20"/>
          <w:szCs w:val="20"/>
          <w:color w:val="auto"/>
        </w:rPr>
        <w:t>: Vesting of restricted stock, or the exercise of a tax withholding right pursuant to which a person elected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have the Company withhold shares of stock to satisfy tax withholding requirements upon the vesting of any restricted stock. The Policy does apply, however, to any market sale of restricted stock.</w:t>
      </w:r>
    </w:p>
    <w:p>
      <w:pPr>
        <w:spacing w:after="0" w:line="175" w:lineRule="exact"/>
        <w:rPr>
          <w:rFonts w:ascii="Times New Roman" w:cs="Times New Roman" w:eastAsia="Times New Roman" w:hAnsi="Times New Roman"/>
          <w:sz w:val="20"/>
          <w:szCs w:val="20"/>
          <w:color w:val="auto"/>
        </w:rPr>
      </w:pPr>
    </w:p>
    <w:p>
      <w:pPr>
        <w:ind w:left="980" w:right="220" w:hanging="324"/>
        <w:spacing w:after="0" w:line="273" w:lineRule="auto"/>
        <w:tabs>
          <w:tab w:leader="none" w:pos="96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401(k)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Purchases of Company Securities in the Company’s 401(k) plan resulting from periodic contribution of money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plan pursuant to standard payroll deduction elections.</w:t>
      </w:r>
    </w:p>
    <w:p>
      <w:pPr>
        <w:spacing w:after="0" w:line="165" w:lineRule="exact"/>
        <w:rPr>
          <w:rFonts w:ascii="Times New Roman" w:cs="Times New Roman" w:eastAsia="Times New Roman" w:hAnsi="Times New Roman"/>
          <w:sz w:val="20"/>
          <w:szCs w:val="20"/>
          <w:color w:val="auto"/>
        </w:rPr>
      </w:pPr>
    </w:p>
    <w:p>
      <w:pPr>
        <w:ind w:left="980" w:right="40" w:hanging="324"/>
        <w:spacing w:after="0" w:line="254" w:lineRule="auto"/>
        <w:tabs>
          <w:tab w:leader="none" w:pos="96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Employee Stock Purchase Plan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Purchases of Company Securities in any employee stock purchase plan resulting from periodic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contribution of money to the plan pursuant to the election made at the time of enrollment in the plan. This Policy also does not apply to purchases of Company Securities resulting from lump sum contributions to the plan, provided that elections to participate by lump sum payment were made at the beginning of the applicable enrollment period. This Policy does apply, however, to elections to participate in the plan for any enrollment period, and to sales of Company Securities purchased pursuant to the plan.</w:t>
      </w:r>
    </w:p>
    <w:p>
      <w:pPr>
        <w:spacing w:after="0" w:line="186" w:lineRule="exact"/>
        <w:rPr>
          <w:rFonts w:ascii="Times New Roman" w:cs="Times New Roman" w:eastAsia="Times New Roman" w:hAnsi="Times New Roman"/>
          <w:sz w:val="20"/>
          <w:szCs w:val="20"/>
          <w:color w:val="auto"/>
        </w:rPr>
      </w:pPr>
    </w:p>
    <w:p>
      <w:pPr>
        <w:ind w:left="980" w:right="660" w:hanging="324"/>
        <w:spacing w:after="0" w:line="273" w:lineRule="auto"/>
        <w:tabs>
          <w:tab w:leader="none" w:pos="96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Other Similar Transactions: </w:t>
      </w:r>
      <w:r>
        <w:rPr>
          <w:rFonts w:ascii="Times New Roman" w:cs="Times New Roman" w:eastAsia="Times New Roman" w:hAnsi="Times New Roman"/>
          <w:sz w:val="20"/>
          <w:szCs w:val="20"/>
          <w:color w:val="auto"/>
        </w:rPr>
        <w:t>Any other similar purchase of Company Securities from the Company or sales of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Securities to the Company are not subject to this Policy.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409" w:right="359" w:bottom="1440" w:gutter="0" w:footer="0" w:header="0"/>
        </w:sectPr>
      </w:pPr>
    </w:p>
    <w:bookmarkStart w:id="124" w:name="page125"/>
    <w:bookmarkEnd w:id="124"/>
    <w:p>
      <w:pPr>
        <w:ind w:left="1280" w:hanging="624"/>
        <w:spacing w:after="0"/>
        <w:tabs>
          <w:tab w:leader="none" w:pos="128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Planned Trading Programs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Rule 10b5-1 under the Exchange Act provides an affirmative defense, under certain conditions, against allegations that an insider traded in the Company Securities while aware of material non-public information. In order to be eligible to rely on this defense, a person subject to this Policy must enter into a trading plan for transactions in Company Securities that meets certain conditions specified in Rule 10b5-1 (a “</w:t>
      </w:r>
      <w:r>
        <w:rPr>
          <w:rFonts w:ascii="Times New Roman" w:cs="Times New Roman" w:eastAsia="Times New Roman" w:hAnsi="Times New Roman"/>
          <w:sz w:val="20"/>
          <w:szCs w:val="20"/>
          <w:u w:val="single" w:color="auto"/>
          <w:color w:val="auto"/>
        </w:rPr>
        <w:t>Rule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10b5-1 Plan</w:t>
      </w:r>
      <w:r>
        <w:rPr>
          <w:rFonts w:ascii="Times New Roman" w:cs="Times New Roman" w:eastAsia="Times New Roman" w:hAnsi="Times New Roman"/>
          <w:sz w:val="20"/>
          <w:szCs w:val="20"/>
          <w:color w:val="auto"/>
        </w:rPr>
        <w:t>”). If the plan meets the requirements of Rule 10b5-1, Company Securities may be purchased or sold without regard to certain insider trading restrictions, including blackout and pre-clearance requirements.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To comply with this Policy, Rule 10b5-1 Plans must be approved by the General Counsel, or his or her designee in the Legal Department, and meet the requirements of Rule 10b5-1. In general, a Rule 10b5-1 Plan must be entered into at a time when the person entering into the plan is not aware of material non-public information and not during a Blackout Period.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Any Rule 10b5-1 Plan must be submitted for approval at least two weeks prior to the entry into the Rule 10b5-1 Plan.</w:t>
      </w:r>
    </w:p>
    <w:p>
      <w:pPr>
        <w:spacing w:after="0" w:line="202"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Post-Termination Transactions</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Policy continues to apply to transactions in Company Securities even after your service with the Company has ended (other than the pre-clearance and trading prohibitions during a Blackout Period, which will cease to apply upon the expiration of any Blackout Period pending at the time of the termination of service). If you are aware of material non-public information when your employment terminates, you may not purchase or sell Company Securities until that information has become public or is no longer material.</w:t>
      </w:r>
    </w:p>
    <w:p>
      <w:pPr>
        <w:spacing w:after="0" w:line="16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REGULATION FD AND COMMUNICATION WITH THE PUBLIC</w:t>
      </w:r>
    </w:p>
    <w:p>
      <w:pPr>
        <w:spacing w:after="0" w:line="2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engages in communications from time to time with investors, securities analysts, and the financial press. It is against the law – specifically Regulation FD (Fair Disclosure) promulgated by the SEC – as well as this Policy, for any person acting on behalf of the Company to selectively disclose material non-public information to Market Participants (as defined herein) where it is reasonably foreseeable that the recipient may be likely to trade on the basis of such information, unless the information has first or simultaneously been disclosed to the public.</w:t>
      </w:r>
    </w:p>
    <w:p>
      <w:pPr>
        <w:spacing w:after="0" w:line="19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For purposes of this Policy, “Market Participants” include: (a) research analysts, brokers, dealers, investment advisers and certain institutional investment managers (and their associated persons, including analysts) and investment companies and hedge funds (and their affiliated persons); and (b) retail (non-institutional) holders or potential holders of Company Securities.</w:t>
      </w:r>
    </w:p>
    <w:p>
      <w:pPr>
        <w:spacing w:after="0" w:line="18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In addition, this Policy prohibits Company Personnel from disclosing any Company material, non-public information to anyone outside the Company, including analysts, stockholders, journalists or any media outlet, Family Members and friends, other than in accordance with this Policy. Company Personnel also may not discuss non-public information regarding the Company or its business on any online or internet-based forum, including social media.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9" w:right="339" w:bottom="1440" w:gutter="0" w:footer="0" w:header="0"/>
        </w:sectPr>
      </w:pPr>
    </w:p>
    <w:bookmarkStart w:id="125" w:name="page126"/>
    <w:bookmarkEnd w:id="125"/>
    <w:p>
      <w:pPr>
        <w:ind w:right="200"/>
        <w:spacing w:after="0" w:line="261" w:lineRule="auto"/>
        <w:rPr>
          <w:sz w:val="20"/>
          <w:szCs w:val="20"/>
          <w:color w:val="auto"/>
        </w:rPr>
      </w:pPr>
      <w:r>
        <w:rPr>
          <w:rFonts w:ascii="Times New Roman" w:cs="Times New Roman" w:eastAsia="Times New Roman" w:hAnsi="Times New Roman"/>
          <w:sz w:val="20"/>
          <w:szCs w:val="20"/>
          <w:color w:val="auto"/>
        </w:rPr>
        <w:t>Any disclosure by the Company of material non-public information must be made first or simultaneously to the public in a manner that is designed to achieve broad public dissemination and must be made in accordance with the Company’s policies and procedures for releasing material information.</w:t>
      </w:r>
    </w:p>
    <w:p>
      <w:pPr>
        <w:spacing w:after="0" w:line="181" w:lineRule="exact"/>
        <w:rPr>
          <w:sz w:val="20"/>
          <w:szCs w:val="20"/>
          <w:color w:val="auto"/>
        </w:rPr>
      </w:pPr>
    </w:p>
    <w:p>
      <w:pPr>
        <w:ind w:right="1020"/>
        <w:spacing w:after="0" w:line="269" w:lineRule="auto"/>
        <w:rPr>
          <w:sz w:val="20"/>
          <w:szCs w:val="20"/>
          <w:color w:val="auto"/>
        </w:rPr>
      </w:pPr>
      <w:r>
        <w:rPr>
          <w:rFonts w:ascii="Times New Roman" w:cs="Times New Roman" w:eastAsia="Times New Roman" w:hAnsi="Times New Roman"/>
          <w:sz w:val="20"/>
          <w:szCs w:val="20"/>
          <w:color w:val="auto"/>
        </w:rPr>
        <w:t>The Company has established procedures for releasing material information in a manner that is designed to achieve broad public dissemination of the information immediately upon its release.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(1) Authorized Spokespersons</w:t>
      </w:r>
    </w:p>
    <w:p>
      <w:pPr>
        <w:spacing w:after="0" w:line="23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The Company limits the number of spokespersons authorized to communicate with Market Participants on behalf of the Company with any person or entity outside the Company – both to ensure compliance with Regulation FD and otherwise to protect the confidentiality of sensitive business or financial information regarding the Company. Accordingly, the Company has designated the Chief Executive Officer, Chief Financial Officer, and any other specifically designated person as the sole Authorized Spokespersons for the Company. Unless you have been designated in writing as an Authorized Spokesperson, you may not publicly respond to any inquiries.</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All inquiries regarding the Company or its securities made by any person or entity outside the Company, including but not limited to securities analysts, members of the media, existing stockholders and/or debtholders and potential investors (except in the context of planned and authorized presentations) with regard to the Company’s business operations or prospects as well as the Company’s financial condition, results of operations, share price or any development or plan affecting the Company, should be referred immediately and exclusively to an Authorized Spokesperson.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 Procedures for Communicating with Market Participants</w:t>
      </w:r>
    </w:p>
    <w:p>
      <w:pPr>
        <w:spacing w:after="0" w:line="2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Company Personnel should not review analyst reports prior to their being published, send analyst reports to investors or prospective investors, comment on an analyst’s model, provide analyst phone numbers for people to call them directly, endorse or ratify revenue or earnings projections made by an analyst, or express comfort or disagreement about analyst estimates. In addition, Company Personnel should not discuss financial or operational information about the Company’s competitors. An Authorized Spokesperson may review an analyst report solely for the purpose of confirming or correcting publicly disclosed information that may be contained in such analyst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(3) Timing of Public Disclosure</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Company Personnel could be deemed to be “acting on behalf of” the Company and subject the Company to possible SEC enforcement action for violation of Regulation FD if Company Personnel orally, or in writing (including all written electronic communications), communicate material non-public information to market professionals and investors in situations where the Company has not either previously or simultaneously released that information to the public pursuant to one or more of the following methods:</w:t>
      </w:r>
    </w:p>
    <w:p>
      <w:pPr>
        <w:spacing w:after="0" w:line="187" w:lineRule="exact"/>
        <w:rPr>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8-K or other document filed with, or submitted to, the SEC;</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press release; 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00"/>
          </w:cols>
          <w:pgMar w:left="320" w:top="1413" w:right="379" w:bottom="1440" w:gutter="0" w:footer="0" w:header="0"/>
        </w:sectPr>
      </w:pPr>
    </w:p>
    <w:bookmarkStart w:id="126" w:name="page127"/>
    <w:bookmarkEnd w:id="126"/>
    <w:p>
      <w:pPr>
        <w:ind w:left="660" w:right="400" w:hanging="328"/>
        <w:spacing w:after="0" w:line="283"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conference call or webcast of such a call that is open to the public at large, and has been the subject of adequate advance notice within the meaning of Regulation FD.</w:t>
      </w:r>
    </w:p>
    <w:p>
      <w:pPr>
        <w:spacing w:after="0" w:line="14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The Company will issue a press release announcing a quarterly earnings call no less than 48 hours prior to such call. The press release shall include:</w:t>
      </w:r>
    </w:p>
    <w:p>
      <w:pPr>
        <w:spacing w:after="0" w:line="146" w:lineRule="exact"/>
        <w:rPr>
          <w:sz w:val="20"/>
          <w:szCs w:val="20"/>
          <w:color w:val="auto"/>
        </w:rPr>
      </w:pPr>
    </w:p>
    <w:p>
      <w:pPr>
        <w:ind w:left="640" w:hanging="308"/>
        <w:spacing w:after="0"/>
        <w:tabs>
          <w:tab w:leader="none" w:pos="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and time of the call;</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as to how to access the call;</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subject matter to be covered during such call; and</w:t>
      </w:r>
    </w:p>
    <w:p>
      <w:pPr>
        <w:spacing w:after="0" w:line="215" w:lineRule="exact"/>
        <w:rPr>
          <w:rFonts w:ascii="Times New Roman" w:cs="Times New Roman" w:eastAsia="Times New Roman" w:hAnsi="Times New Roman"/>
          <w:sz w:val="20"/>
          <w:szCs w:val="20"/>
          <w:color w:val="auto"/>
        </w:rPr>
      </w:pPr>
    </w:p>
    <w:p>
      <w:pPr>
        <w:ind w:left="660" w:right="40" w:hanging="328"/>
        <w:spacing w:after="0" w:line="283" w:lineRule="auto"/>
        <w:tabs>
          <w:tab w:leader="none" w:pos="6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location on the Company’s website where the webcast and audio file of the call (and any slides or other materials presented including reconciliations for any non-GAAP financial measures to be presented on the call) will be available.</w:t>
      </w:r>
    </w:p>
    <w:p>
      <w:pPr>
        <w:spacing w:after="0" w:line="142"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9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Quiet Period</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At the end of each fiscal quarter, the Company will observe a “quiet period” with respect to communication with the investment community, commencing at the close of the quarter. During this quiet period, the Company, including Authorized Spokespersons, should not provide information or guidance on expected financial results, previously published financial or other performance estimates or other guidance (including any reference to previously published estimates or guidance which might implicitly reaffirm the previously published estimate or guidance), analyst models, Company outlook, market trends or any other matters which might be directly or indirectly indicative of the Company’s prospective financial results for the period. On-site meetings will not be conducted. Immediately prior to any earnings release, the Company should cease all communication with the investing public. The quiet period ends when the Company’s earnings information for that quarter is publicly released. If management believes it is necessary or in the best interest of the Company to engage in communications during the quiet period, the Authorized Spokesperson, with the approval of the General Counsel, may do so in a manner consistent with Regulation FD. In no event shall such communication include any comment on the Company’s financial results or outlook for the current or future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(5) Inadvertent Disclosure</w:t>
      </w:r>
    </w:p>
    <w:p>
      <w:pPr>
        <w:spacing w:after="0" w:line="23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Company Personnel should notify the Legal Department immediately if they become aware of facts suggesting that material non-public information may have been communicated in violation of this Policy. In certain circumstances, steps can be taken promptly upon discovery of the selective disclosure to protect both the Company and the person responsible for that communication. Regulation FD, for example, gives a brief period, generally 24 hours, after discovery of a careless or inadvertent selective disclosure to avoid potential SEC enforcement action by fully disclosing the information to the public.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(6) Responding to Rumors and News Media</w:t>
      </w:r>
    </w:p>
    <w:p>
      <w:pPr>
        <w:spacing w:after="0" w:line="2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Rumors and media reports concerning the business and affairs of the Company may circulate from time to time. It is the Company’s general policy not to comment upon such rumors and/or to publish corrections about inaccurate or incomplete media statements. Company Personnel should not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13" w:right="339" w:bottom="1440" w:gutter="0" w:footer="0" w:header="0"/>
        </w:sectPr>
      </w:pPr>
    </w:p>
    <w:bookmarkStart w:id="127" w:name="page128"/>
    <w:bookmarkEnd w:id="127"/>
    <w:p>
      <w:pPr>
        <w:ind w:right="380"/>
        <w:spacing w:after="0" w:line="283" w:lineRule="auto"/>
        <w:rPr>
          <w:sz w:val="20"/>
          <w:szCs w:val="20"/>
          <w:color w:val="auto"/>
        </w:rPr>
      </w:pPr>
      <w:r>
        <w:rPr>
          <w:rFonts w:ascii="Times New Roman" w:cs="Times New Roman" w:eastAsia="Times New Roman" w:hAnsi="Times New Roman"/>
          <w:sz w:val="20"/>
          <w:szCs w:val="20"/>
          <w:color w:val="auto"/>
        </w:rPr>
        <w:t>comment upon or respond to such rumors and/or media reports. Requests for comments or responses should be referred to an Authorized Spokesperson.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(7) Communicating Responsibly on Social Media and other Electronic Communications</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Use of personal social media channels by directors, officers, employees, agents or other persons, including the Authorized Spokespersons, to communicate material non-public Company information is prohibited.</w:t>
      </w:r>
    </w:p>
    <w:p>
      <w:pPr>
        <w:spacing w:after="0" w:line="17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When using social media, Company Personnel have a responsibility to communicate in a manner that is consistent with our Company’s values. Company Personnel may not use social media or any other platform to post any non-public information about the Company, unless authorized by the Legal Department. Be polite and respectful in your professional and personal use of social media and remember that your conduct may impact how others view our Company and our values. In your business communications, the form and content of your email messages, texts, direct messages or other communications, should be professional and to-the-point, whether sent to co-workers or third parties. Care should be taken to ensure that a message has been addressed only to the intended recipients, that confidential and personal information is not being inappropriately shared, and that you would not be embarrassed by its contents.</w:t>
      </w:r>
    </w:p>
    <w:p>
      <w:pPr>
        <w:spacing w:after="0" w:line="175" w:lineRule="exact"/>
        <w:rPr>
          <w:sz w:val="20"/>
          <w:szCs w:val="20"/>
          <w:color w:val="auto"/>
        </w:rPr>
      </w:pPr>
    </w:p>
    <w:p>
      <w:pPr>
        <w:ind w:left="620" w:hanging="612"/>
        <w:spacing w:after="0"/>
        <w:tabs>
          <w:tab w:leader="none" w:pos="62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CONSEQUENCES OF VIOLATION</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Selective disclosure of material, nonpublic information in any forum other than the approved methods listed above, and by any individual other than an Authorized Spokesperson, is considered a violation of this Policy and may be considered a violation of U.S. federal securities laws. A violation of this Policy may result an SEC civil enforcement action against the individual offender, the Company, and the Company’s officers and directors.</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Insider trading is a serious crime. There are no thresholds or limits on the size of a transaction that will trigger insider trading liability. Insider trading violations are pursued vigorously by the SEC and can be detected using advanced technologies. In the past, relatively small trades have resulted in investigations by the SEC or the Department of Justice and lawsuits.</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Individuals found liable for insider trading (and tipping) face penalties of up three (3) times the profit gained or loss avoided, a criminal fine of up to $5 million and up to twenty (20) years in jail. In addition to the potential criminal and civil liabilities, in certain circumstances the Company may be able to recover all profits made by an insider who traded illegally plus collect other damages. Furthermore, the Company (and its executive officers and directors) could face penalties the greater of $1 million or three (3) times the profit gained or loss avoided as a result of an employee’s violation and/or criminal penalty of up to $25 million.</w:t>
      </w:r>
    </w:p>
    <w:p>
      <w:pPr>
        <w:spacing w:after="0" w:line="19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Any violation of this Policy should be brought to the attention of the General Counsel or Legal Department. Without regard to civil or criminal penalties that may be imposed by others, violation of this Policy and its procedures may constitute grounds for dismissal from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as modified by the Board on February 17, 2022.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413" w:right="35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First Watch Restaurant Group, Inc.</w:t>
            </w:r>
          </w:p>
        </w:tc>
      </w:tr>
      <w:tr>
        <w:trPr>
          <w:trHeight w:val="437"/>
        </w:trPr>
        <w:tc>
          <w:tcPr>
            <w:tcW w:w="3740" w:type="dxa"/>
            <w:vAlign w:val="bottom"/>
          </w:tcPr>
          <w:p>
            <w:pPr>
              <w:spacing w:after="0"/>
              <w:rPr>
                <w:sz w:val="24"/>
                <w:szCs w:val="24"/>
                <w:color w:val="auto"/>
              </w:rPr>
            </w:pPr>
          </w:p>
        </w:tc>
        <w:tc>
          <w:tcPr>
            <w:tcW w:w="75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As of December 29, 2024</w:t>
            </w:r>
          </w:p>
        </w:tc>
      </w:tr>
      <w:tr>
        <w:trPr>
          <w:trHeight w:val="742"/>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750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 Fresh Parent,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E&amp;I Holdings, Inc.</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E&amp;I Restaurant Group, LLC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Watch Franchise Development Co.</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Restaurants Texas,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Watch Restaurants, Inc. (d/b/a First Watch)</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Watch Texas Holding, Inc.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FWR Holding Corporation</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 Egg Restaurants, LLC</w:t>
            </w:r>
          </w:p>
        </w:tc>
        <w:tc>
          <w:tcPr>
            <w:tcW w:w="750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Arizona</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TFW-NC, LLC</w:t>
            </w:r>
          </w:p>
        </w:tc>
        <w:tc>
          <w:tcPr>
            <w:tcW w:w="75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North Carolina</w:t>
            </w:r>
          </w:p>
        </w:tc>
      </w:tr>
    </w:tbl>
    <w:p>
      <w:pPr>
        <w:sectPr>
          <w:pgSz w:w="11900" w:h="16838" w:orient="portrait"/>
          <w:cols w:equalWidth="0" w:num="1">
            <w:col w:w="11240"/>
          </w:cols>
          <w:pgMar w:left="320" w:top="1413" w:right="339" w:bottom="1440" w:gutter="0" w:footer="0" w:header="0"/>
        </w:sectPr>
      </w:pPr>
    </w:p>
    <w:bookmarkStart w:id="129" w:name="page130"/>
    <w:bookmarkEnd w:id="129"/>
    <w:p>
      <w:pPr>
        <w:ind w:left="71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333-268197) and Form S-8 (No. 333-259937) of First Watch Restaurant Group, Inc. of our report dated March 11, 2025 relating to the financial statements, which appears in this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rPr>
          <w:sz w:val="20"/>
          <w:szCs w:val="20"/>
          <w:color w:val="auto"/>
        </w:rPr>
      </w:pPr>
      <w:r>
        <w:rPr>
          <w:rFonts w:ascii="Times New Roman" w:cs="Times New Roman" w:eastAsia="Times New Roman" w:hAnsi="Times New Roman"/>
          <w:sz w:val="18"/>
          <w:szCs w:val="18"/>
          <w:color w:val="auto"/>
        </w:rPr>
        <w:t>March 11, 2025</w:t>
      </w:r>
    </w:p>
    <w:p>
      <w:pPr>
        <w:sectPr>
          <w:pgSz w:w="11900" w:h="16838" w:orient="portrait"/>
          <w:cols w:equalWidth="0" w:num="1">
            <w:col w:w="11240"/>
          </w:cols>
          <w:pgMar w:left="320" w:top="603" w:right="339" w:bottom="1440" w:gutter="0" w:footer="0" w:header="0"/>
        </w:sectPr>
      </w:pPr>
    </w:p>
    <w:bookmarkStart w:id="130" w:name="page131"/>
    <w:bookmarkEnd w:id="130"/>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250" w:lineRule="exact"/>
        <w:rPr>
          <w:sz w:val="20"/>
          <w:szCs w:val="20"/>
          <w:color w:val="auto"/>
        </w:rPr>
      </w:pPr>
    </w:p>
    <w:p>
      <w:pPr>
        <w:ind w:left="640" w:hanging="308"/>
        <w:spacing w:after="0"/>
        <w:tabs>
          <w:tab w:leader="none" w:pos="64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First Watch Restaurant Group, Inc.;</w:t>
      </w:r>
    </w:p>
    <w:p>
      <w:pPr>
        <w:spacing w:after="0" w:line="277" w:lineRule="exact"/>
        <w:rPr>
          <w:rFonts w:ascii="Times New Roman" w:cs="Times New Roman" w:eastAsia="Times New Roman" w:hAnsi="Times New Roman"/>
          <w:sz w:val="17"/>
          <w:szCs w:val="17"/>
          <w:color w:val="auto"/>
        </w:rPr>
      </w:pPr>
    </w:p>
    <w:p>
      <w:pPr>
        <w:ind w:left="660" w:hanging="328"/>
        <w:spacing w:after="0" w:line="267" w:lineRule="auto"/>
        <w:tabs>
          <w:tab w:leader="none" w:pos="675" w:val="left"/>
        </w:tabs>
        <w:numPr>
          <w:ilvl w:val="0"/>
          <w:numId w:val="93"/>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93"/>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left="660" w:right="240" w:hanging="328"/>
        <w:spacing w:after="0" w:line="256" w:lineRule="auto"/>
        <w:tabs>
          <w:tab w:leader="none" w:pos="653"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1011" w:val="left"/>
        </w:tabs>
        <w:numPr>
          <w:ilvl w:val="1"/>
          <w:numId w:val="93"/>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81" w:lineRule="auto"/>
        <w:tabs>
          <w:tab w:leader="none" w:pos="97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7"/>
          <w:szCs w:val="17"/>
          <w:color w:val="auto"/>
        </w:rPr>
      </w:pPr>
    </w:p>
    <w:p>
      <w:pPr>
        <w:ind w:left="980" w:hanging="324"/>
        <w:spacing w:after="0" w:line="267" w:lineRule="auto"/>
        <w:tabs>
          <w:tab w:leader="none" w:pos="1014" w:val="left"/>
        </w:tabs>
        <w:numPr>
          <w:ilvl w:val="1"/>
          <w:numId w:val="93"/>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8"/>
          <w:szCs w:val="18"/>
          <w:color w:val="auto"/>
        </w:rPr>
      </w:pPr>
    </w:p>
    <w:p>
      <w:pPr>
        <w:jc w:val="both"/>
        <w:ind w:left="980" w:hanging="324"/>
        <w:spacing w:after="0" w:line="265" w:lineRule="auto"/>
        <w:tabs>
          <w:tab w:leader="none" w:pos="1011" w:val="left"/>
        </w:tabs>
        <w:numPr>
          <w:ilvl w:val="1"/>
          <w:numId w:val="93"/>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93"/>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Date: March 11, 2025</w:t>
            </w:r>
          </w:p>
        </w:tc>
        <w:tc>
          <w:tcPr>
            <w:tcW w:w="34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/s/ Christopher A. Tomasso</w:t>
            </w:r>
          </w:p>
        </w:tc>
      </w:tr>
      <w:tr>
        <w:trPr>
          <w:trHeight w:val="20"/>
        </w:trPr>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5"/>
        </w:trPr>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Christopher A. Tomasso</w:t>
            </w:r>
          </w:p>
        </w:tc>
      </w:tr>
      <w:tr>
        <w:trPr>
          <w:trHeight w:val="203"/>
        </w:trPr>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2"/>
        </w:trPr>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w w:val="99"/>
              </w:rPr>
              <w:t>(Principal Executive Officer)</w:t>
            </w:r>
          </w:p>
        </w:tc>
      </w:tr>
    </w:tbl>
    <w:p>
      <w:pPr>
        <w:sectPr>
          <w:pgSz w:w="11900" w:h="16838" w:orient="portrait"/>
          <w:cols w:equalWidth="0" w:num="1">
            <w:col w:w="11240"/>
          </w:cols>
          <w:pgMar w:left="320" w:top="141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250" w:lineRule="exact"/>
        <w:rPr>
          <w:sz w:val="20"/>
          <w:szCs w:val="20"/>
          <w:color w:val="auto"/>
        </w:rPr>
      </w:pPr>
    </w:p>
    <w:p>
      <w:pPr>
        <w:ind w:left="640" w:hanging="308"/>
        <w:spacing w:after="0"/>
        <w:tabs>
          <w:tab w:leader="none" w:pos="6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First Watch Restaurant Group, Inc.;</w:t>
      </w:r>
    </w:p>
    <w:p>
      <w:pPr>
        <w:spacing w:after="0" w:line="277" w:lineRule="exact"/>
        <w:rPr>
          <w:rFonts w:ascii="Times New Roman" w:cs="Times New Roman" w:eastAsia="Times New Roman" w:hAnsi="Times New Roman"/>
          <w:sz w:val="17"/>
          <w:szCs w:val="17"/>
          <w:color w:val="auto"/>
        </w:rPr>
      </w:pPr>
    </w:p>
    <w:p>
      <w:pPr>
        <w:ind w:left="660" w:hanging="328"/>
        <w:spacing w:after="0" w:line="267" w:lineRule="auto"/>
        <w:tabs>
          <w:tab w:leader="none" w:pos="675" w:val="left"/>
        </w:tabs>
        <w:numPr>
          <w:ilvl w:val="0"/>
          <w:numId w:val="94"/>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94"/>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left="660" w:right="240" w:hanging="328"/>
        <w:spacing w:after="0" w:line="256" w:lineRule="auto"/>
        <w:tabs>
          <w:tab w:leader="none" w:pos="653"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1011" w:val="left"/>
        </w:tabs>
        <w:numPr>
          <w:ilvl w:val="1"/>
          <w:numId w:val="94"/>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73" w:lineRule="auto"/>
        <w:tabs>
          <w:tab w:leader="none" w:pos="97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Times New Roman" w:cs="Times New Roman" w:eastAsia="Times New Roman" w:hAnsi="Times New Roman"/>
          <w:sz w:val="17"/>
          <w:szCs w:val="17"/>
          <w:color w:val="auto"/>
        </w:rPr>
      </w:pPr>
    </w:p>
    <w:p>
      <w:pPr>
        <w:ind w:left="980" w:hanging="324"/>
        <w:spacing w:after="0" w:line="267" w:lineRule="auto"/>
        <w:tabs>
          <w:tab w:leader="none" w:pos="1014" w:val="left"/>
        </w:tabs>
        <w:numPr>
          <w:ilvl w:val="1"/>
          <w:numId w:val="94"/>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8"/>
          <w:szCs w:val="18"/>
          <w:color w:val="auto"/>
        </w:rPr>
      </w:pPr>
    </w:p>
    <w:p>
      <w:pPr>
        <w:jc w:val="both"/>
        <w:ind w:left="980" w:hanging="324"/>
        <w:spacing w:after="0" w:line="265" w:lineRule="auto"/>
        <w:tabs>
          <w:tab w:leader="none" w:pos="1011" w:val="left"/>
        </w:tabs>
        <w:numPr>
          <w:ilvl w:val="1"/>
          <w:numId w:val="94"/>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94"/>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7"/>
          <w:szCs w:val="17"/>
          <w:color w:val="auto"/>
        </w:rPr>
        <w:t>Date: March 11, 2025</w:t>
      </w:r>
      <w:r>
        <w:rPr>
          <w:sz w:val="20"/>
          <w:szCs w:val="20"/>
          <w:color w:val="auto"/>
        </w:rPr>
        <w:tab/>
      </w:r>
      <w:r>
        <w:rPr>
          <w:rFonts w:ascii="Times New Roman" w:cs="Times New Roman" w:eastAsia="Times New Roman" w:hAnsi="Times New Roman"/>
          <w:sz w:val="16"/>
          <w:szCs w:val="16"/>
          <w:u w:val="single" w:color="auto"/>
          <w:color w:val="auto"/>
        </w:rPr>
        <w:t>/s/ Mel Hope</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132" w:name="page133"/>
    <w:bookmarkEnd w:id="132"/>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Annual Report on Form 10-K of First Watch Restaurant Group, Inc. (the “Company”) for the fiscal year ended December 29, 2024,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18"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lvl w:ilvl="1">
      <w:lvlJc w:val="left"/>
      <w:lvlText w:val="◦"/>
      <w:numFmt w:val="bullet"/>
      <w:start w:val="1"/>
    </w:lvl>
  </w:abstractNum>
  <w:abstractNum w:abstractNumId="6">
    <w:nsid w:val="1BA026FA"/>
    <w:multiLevelType w:val="hybridMultilevel"/>
    <w:lvl w:ilvl="0">
      <w:lvlJc w:val="left"/>
      <w:lvlText w:val="•"/>
      <w:numFmt w:val="bullet"/>
      <w:start w:val="1"/>
    </w:lvl>
    <w:lvl w:ilvl="1">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lowerRoman"/>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01"/>
    </w:lvl>
  </w:abstractNum>
  <w:abstractNum w:abstractNumId="37">
    <w:nsid w:val="4AD084E9"/>
    <w:multiLevelType w:val="hybridMultilevel"/>
    <w:lvl w:ilvl="0">
      <w:lvlJc w:val="left"/>
      <w:lvlText w:val="*"/>
      <w:numFmt w:val="bullet"/>
      <w:start w:val="1"/>
    </w:lvl>
    <w:lvl w:ilvl="1">
      <w:lvlJc w:val="left"/>
      <w:lvlText w:val="%2"/>
      <w:numFmt w:val="decimal"/>
      <w:start w:val="104"/>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lowerLetter"/>
      <w:start w:val="1"/>
    </w:lvl>
    <w:lvl w:ilvl="1">
      <w:lvlJc w:val="left"/>
      <w:lvlText w:val="(%2)"/>
      <w:numFmt w:val="upperLetter"/>
      <w:start w:val="6"/>
    </w:lvl>
  </w:abstractNum>
  <w:abstractNum w:abstractNumId="40">
    <w:nsid w:val="5DB70AE5"/>
    <w:multiLevelType w:val="hybridMultilevel"/>
    <w:lvl w:ilvl="0">
      <w:lvlJc w:val="left"/>
      <w:lvlText w:val="(%1)"/>
      <w:numFmt w:val="lowerLetter"/>
      <w:start w:val="5"/>
    </w:lvl>
    <w:lvl w:ilvl="1">
      <w:lvlJc w:val="left"/>
      <w:lvlText w:val="%2."/>
      <w:numFmt w:val="lowerRoman"/>
      <w:start w:val="1"/>
    </w:lvl>
  </w:abstractNum>
  <w:abstractNum w:abstractNumId="41">
    <w:nsid w:val="100F8FCA"/>
    <w:multiLevelType w:val="hybridMultilevel"/>
    <w:lvl w:ilvl="0">
      <w:lvlJc w:val="left"/>
      <w:lvlText w:val="(%1)"/>
      <w:numFmt w:val="lowerLetter"/>
      <w:start w:val="6"/>
    </w:lvl>
  </w:abstractNum>
  <w:abstractNum w:abstractNumId="42">
    <w:nsid w:val="6590700B"/>
    <w:multiLevelType w:val="hybridMultilevel"/>
    <w:lvl w:ilvl="0">
      <w:lvlJc w:val="left"/>
      <w:lvlText w:val="(%1)"/>
      <w:numFmt w:val="lowerLetter"/>
      <w:start w:val="14"/>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2"/>
    </w:lvl>
  </w:abstractNum>
  <w:abstractNum w:abstractNumId="45">
    <w:nsid w:val="98A3148"/>
    <w:multiLevelType w:val="hybridMultilevel"/>
    <w:lvl w:ilvl="0">
      <w:lvlJc w:val="left"/>
      <w:lvlText w:val="(%1)"/>
      <w:numFmt w:val="lowerLetter"/>
      <w:start w:val="1"/>
    </w:lvl>
    <w:lvl w:ilvl="1">
      <w:lvlJc w:val="left"/>
      <w:lvlText w:val="(%2)"/>
      <w:numFmt w:val="lowerLetter"/>
      <w:start w:val="24"/>
    </w:lvl>
  </w:abstractNum>
  <w:abstractNum w:abstractNumId="46">
    <w:nsid w:val="799D0247"/>
    <w:multiLevelType w:val="hybridMultilevel"/>
    <w:lvl w:ilvl="0">
      <w:lvlJc w:val="left"/>
      <w:lvlText w:val="(%1)"/>
      <w:numFmt w:val="lowerLetter"/>
      <w:start w:val="4"/>
    </w:lvl>
  </w:abstractNum>
  <w:abstractNum w:abstractNumId="47">
    <w:nsid w:val="6B94764"/>
    <w:multiLevelType w:val="hybridMultilevel"/>
    <w:lvl w:ilvl="0">
      <w:lvlJc w:val="left"/>
      <w:lvlText w:val="%1"/>
      <w:numFmt w:val="lowerLetter"/>
      <w:start w:val="1"/>
    </w:lvl>
    <w:lvl w:ilvl="1">
      <w:lvlJc w:val="left"/>
      <w:lvlText w:val="(%2)"/>
      <w:numFmt w:val="lowerLetter"/>
      <w:start w:val="1"/>
    </w:lvl>
  </w:abstractNum>
  <w:abstractNum w:abstractNumId="48">
    <w:nsid w:val="42C296BD"/>
    <w:multiLevelType w:val="hybridMultilevel"/>
    <w:lvl w:ilvl="0">
      <w:lvlJc w:val="left"/>
      <w:lvlText w:val="(%1)"/>
      <w:numFmt w:val="lowerLetter"/>
      <w:start w:val="25"/>
    </w:lvl>
    <w:lvl w:ilvl="1">
      <w:lvlJc w:val="left"/>
      <w:lvlText w:val="(%2)"/>
      <w:numFmt w:val="lowerLetter"/>
      <w:start w:val="3"/>
    </w:lvl>
  </w:abstractNum>
  <w:abstractNum w:abstractNumId="49">
    <w:nsid w:val="168E121F"/>
    <w:multiLevelType w:val="hybridMultilevel"/>
    <w:lvl w:ilvl="0">
      <w:lvlJc w:val="left"/>
      <w:lvlText w:val="(%1)"/>
      <w:numFmt w:val="lowerLetter"/>
      <w:start w:val="4"/>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bullet"/>
      <w:start w:val="1"/>
    </w:lvl>
  </w:abstractNum>
  <w:abstractNum w:abstractNumId="53">
    <w:nsid w:val="540A471C"/>
    <w:multiLevelType w:val="hybridMultilevel"/>
    <w:lvl w:ilvl="0">
      <w:lvlJc w:val="left"/>
      <w:lvlText w:val="%1"/>
      <w:numFmt w:val="lowerLetter"/>
      <w:start w:val="1"/>
    </w:lvl>
    <w:lvl w:ilvl="1">
      <w:lvlJc w:val="left"/>
      <w:lvlText w:val="%2."/>
      <w:numFmt w:val="decimal"/>
      <w:start w:val="2"/>
    </w:lvl>
  </w:abstractNum>
  <w:abstractNum w:abstractNumId="54">
    <w:nsid w:val="7BD3EE7B"/>
    <w:multiLevelType w:val="hybridMultilevel"/>
    <w:lvl w:ilvl="0">
      <w:lvlJc w:val="left"/>
      <w:lvlText w:val="(%1)"/>
      <w:numFmt w:val="lowerLetter"/>
      <w:start w:val="6"/>
    </w:lvl>
    <w:lvl w:ilvl="1">
      <w:lvlJc w:val="left"/>
      <w:lvlText w:val="%2"/>
      <w:numFmt w:val="decimal"/>
      <w:start w:val="1"/>
    </w:lvl>
  </w:abstractNum>
  <w:abstractNum w:abstractNumId="55">
    <w:nsid w:val="51D9C564"/>
    <w:multiLevelType w:val="hybridMultilevel"/>
    <w:lvl w:ilvl="0">
      <w:lvlJc w:val="left"/>
      <w:lvlText w:val="%1"/>
      <w:numFmt w:val="lowerRoman"/>
      <w:start w:val="1"/>
    </w:lvl>
    <w:lvl w:ilvl="1">
      <w:lvlJc w:val="left"/>
      <w:lvlText w:val="%2."/>
      <w:numFmt w:val="decimal"/>
      <w:start w:val="3"/>
    </w:lvl>
  </w:abstractNum>
  <w:abstractNum w:abstractNumId="56">
    <w:nsid w:val="613EFDC5"/>
    <w:multiLevelType w:val="hybridMultilevel"/>
    <w:lvl w:ilvl="0">
      <w:lvlJc w:val="left"/>
      <w:lvlText w:val="(%1)"/>
      <w:numFmt w:val="lowerRoman"/>
      <w:start w:val="3"/>
    </w:lvl>
    <w:lvl w:ilvl="1">
      <w:lvlJc w:val="left"/>
      <w:lvlText w:val="%2"/>
      <w:numFmt w:val="decimal"/>
      <w:start w:val="1"/>
    </w:lvl>
  </w:abstractNum>
  <w:abstractNum w:abstractNumId="57">
    <w:nsid w:val="BF72B14"/>
    <w:multiLevelType w:val="hybridMultilevel"/>
    <w:lvl w:ilvl="0">
      <w:lvlJc w:val="left"/>
      <w:lvlText w:val="%1."/>
      <w:numFmt w:val="decimal"/>
      <w:start w:val="4"/>
    </w:lvl>
  </w:abstractNum>
  <w:abstractNum w:abstractNumId="58">
    <w:nsid w:val="11447B73"/>
    <w:multiLevelType w:val="hybridMultilevel"/>
    <w:lvl w:ilvl="0">
      <w:lvlJc w:val="left"/>
      <w:lvlText w:val="%1."/>
      <w:numFmt w:val="decimal"/>
      <w:start w:val="5"/>
    </w:lvl>
  </w:abstractNum>
  <w:abstractNum w:abstractNumId="59">
    <w:nsid w:val="42963E5A"/>
    <w:multiLevelType w:val="hybridMultilevel"/>
    <w:lvl w:ilvl="0">
      <w:lvlJc w:val="left"/>
      <w:lvlText w:val="%1."/>
      <w:numFmt w:val="lowerLetter"/>
      <w:start w:val="1"/>
    </w:lvl>
  </w:abstractNum>
  <w:abstractNum w:abstractNumId="60">
    <w:nsid w:val="A0382C5"/>
    <w:multiLevelType w:val="hybridMultilevel"/>
    <w:lvl w:ilvl="0">
      <w:lvlJc w:val="left"/>
      <w:lvlText w:val="%1."/>
      <w:numFmt w:val="decimal"/>
      <w:start w:val="6"/>
    </w:lvl>
  </w:abstractNum>
  <w:abstractNum w:abstractNumId="61">
    <w:nsid w:val="8F2B15E"/>
    <w:multiLevelType w:val="hybridMultilevel"/>
    <w:lvl w:ilvl="0">
      <w:lvlJc w:val="left"/>
      <w:lvlText w:val="%1."/>
      <w:numFmt w:val="upperLetter"/>
      <w:start w:val="9"/>
    </w:lvl>
  </w:abstractNum>
  <w:abstractNum w:abstractNumId="62">
    <w:nsid w:val="1A32234B"/>
    <w:multiLevelType w:val="hybridMultilevel"/>
    <w:lvl w:ilvl="0">
      <w:lvlJc w:val="left"/>
      <w:lvlText w:val="%1."/>
      <w:numFmt w:val="upperLetter"/>
      <w:start w:val="2"/>
    </w:lvl>
  </w:abstractNum>
  <w:abstractNum w:abstractNumId="63">
    <w:nsid w:val="3B0FD379"/>
    <w:multiLevelType w:val="hybridMultilevel"/>
    <w:lvl w:ilvl="0">
      <w:lvlJc w:val="left"/>
      <w:lvlText w:val="%1."/>
      <w:numFmt w:val="upperLetter"/>
      <w:start w:val="3"/>
    </w:lvl>
  </w:abstractNum>
  <w:abstractNum w:abstractNumId="64">
    <w:nsid w:val="68EB2F63"/>
    <w:multiLevelType w:val="hybridMultilevel"/>
    <w:lvl w:ilvl="0">
      <w:lvlJc w:val="left"/>
      <w:lvlText w:val="%1"/>
      <w:numFmt w:val="decimal"/>
      <w:start w:val="1"/>
    </w:lvl>
    <w:lvl w:ilvl="1">
      <w:lvlJc w:val="left"/>
      <w:lvlText w:val="%2."/>
      <w:numFmt w:val="upperLetter"/>
      <w:start w:val="4"/>
    </w:lvl>
  </w:abstractNum>
  <w:abstractNum w:abstractNumId="65">
    <w:nsid w:val="4962813B"/>
    <w:multiLevelType w:val="hybridMultilevel"/>
    <w:lvl w:ilvl="0">
      <w:lvlJc w:val="left"/>
      <w:lvlText w:val="(%1)"/>
      <w:numFmt w:val="decimal"/>
      <w:start w:val="1"/>
    </w:lvl>
    <w:lvl w:ilvl="1">
      <w:lvlJc w:val="left"/>
      <w:lvlText w:val="%2"/>
      <w:numFmt w:val="upperLetter"/>
      <w:start w:val="1"/>
    </w:lvl>
  </w:abstractNum>
  <w:abstractNum w:abstractNumId="66">
    <w:nsid w:val="60B6DF70"/>
    <w:multiLevelType w:val="hybridMultilevel"/>
    <w:lvl w:ilvl="0">
      <w:lvlJc w:val="left"/>
      <w:lvlText w:val="%1."/>
      <w:numFmt w:val="upperLetter"/>
      <w:start w:val="5"/>
    </w:lvl>
  </w:abstractNum>
  <w:abstractNum w:abstractNumId="67">
    <w:nsid w:val="6A5EE64"/>
    <w:multiLevelType w:val="hybridMultilevel"/>
    <w:lvl w:ilvl="0">
      <w:lvlJc w:val="left"/>
      <w:lvlText w:val="%1."/>
      <w:numFmt w:val="upperLetter"/>
      <w:start w:val="6"/>
    </w:lvl>
  </w:abstractNum>
  <w:abstractNum w:abstractNumId="68">
    <w:nsid w:val="14330624"/>
    <w:multiLevelType w:val="hybridMultilevel"/>
    <w:lvl w:ilvl="0">
      <w:lvlJc w:val="left"/>
      <w:lvlText w:val="%1."/>
      <w:numFmt w:val="upperLetter"/>
      <w:start w:val="35"/>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decimal"/>
      <w:start w:val="1"/>
    </w:lvl>
    <w:lvl w:ilvl="1">
      <w:lvlJc w:val="left"/>
      <w:lvlText w:val="%2."/>
      <w:numFmt w:val="upperLetter"/>
      <w:start w:val="2"/>
    </w:lvl>
  </w:abstractNum>
  <w:abstractNum w:abstractNumId="71">
    <w:nsid w:val="71EA1109"/>
    <w:multiLevelType w:val="hybridMultilevel"/>
    <w:lvl w:ilvl="0">
      <w:lvlJc w:val="left"/>
      <w:lvlText w:val="(%1)"/>
      <w:numFmt w:val="decimal"/>
      <w:start w:val="1"/>
    </w:lvl>
    <w:lvl w:ilvl="1">
      <w:lvlJc w:val="left"/>
      <w:lvlText w:val="%2"/>
      <w:numFmt w:val="upperLetter"/>
      <w:start w:val="1"/>
    </w:lvl>
  </w:abstractNum>
  <w:abstractNum w:abstractNumId="72">
    <w:nsid w:val="100F59DC"/>
    <w:multiLevelType w:val="hybridMultilevel"/>
    <w:lvl w:ilvl="0">
      <w:lvlJc w:val="left"/>
      <w:lvlText w:val="(%1)"/>
      <w:numFmt w:val="decimal"/>
      <w:start w:val="1"/>
    </w:lvl>
    <w:lvl w:ilvl="1">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1."/>
      <w:numFmt w:val="upperLetter"/>
      <w:start w:val="61"/>
    </w:lvl>
  </w:abstractNum>
  <w:abstractNum w:abstractNumId="76">
    <w:nsid w:val="94211F2"/>
    <w:multiLevelType w:val="hybridMultilevel"/>
    <w:lvl w:ilvl="0">
      <w:lvlJc w:val="left"/>
      <w:lvlText w:val="%1."/>
      <w:numFmt w:val="upperLetter"/>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1."/>
      <w:numFmt w:val="upperLetter"/>
      <w:start w:val="2"/>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upperLetter"/>
      <w:start w:val="3"/>
    </w:lvl>
  </w:abstractNum>
  <w:abstractNum w:abstractNumId="81">
    <w:nsid w:val="14E17E33"/>
    <w:multiLevelType w:val="hybridMultilevel"/>
    <w:lvl w:ilvl="0">
      <w:lvlJc w:val="left"/>
      <w:lvlText w:val="%1."/>
      <w:numFmt w:val="upperLetter"/>
      <w:start w:val="4"/>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1."/>
      <w:numFmt w:val="upperLetter"/>
      <w:start w:val="5"/>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1."/>
      <w:numFmt w:val="upperLetter"/>
      <w:start w:val="6"/>
    </w:lvl>
  </w:abstractNum>
  <w:abstractNum w:abstractNumId="87">
    <w:nsid w:val="4A2AC315"/>
    <w:multiLevelType w:val="hybridMultilevel"/>
    <w:lvl w:ilvl="0">
      <w:lvlJc w:val="left"/>
      <w:lvlText w:val="%1."/>
      <w:numFmt w:val="upperLetter"/>
      <w:start w:val="7"/>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1)"/>
      <w:numFmt w:val="decimal"/>
      <w:start w:val="3"/>
    </w:lvl>
    <w:lvl w:ilvl="1">
      <w:lvlJc w:val="left"/>
      <w:lvlText w:val="•"/>
      <w:numFmt w:val="bullet"/>
      <w:start w:val="1"/>
    </w:lvl>
  </w:abstractNum>
  <w:abstractNum w:abstractNumId="91">
    <w:nsid w:val="43F18422"/>
    <w:multiLevelType w:val="hybridMultilevel"/>
    <w:lvl w:ilvl="0">
      <w:lvlJc w:val="left"/>
      <w:lvlText w:val="%1."/>
      <w:numFmt w:val="upperLetter"/>
      <w:start w:val="22"/>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8"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26" Type="http://schemas.openxmlformats.org/officeDocument/2006/relationships/hyperlink" Target="https://www.sec.gov/Archives/edgar/data/1789940/000119312521293207/d212487dex31.htm" TargetMode="External"/><Relationship Id="rId127" Type="http://schemas.openxmlformats.org/officeDocument/2006/relationships/hyperlink" Target="https://www.sec.gov/Archives/edgar/data/1789940/000119312521293207/d212487dex32.htm" TargetMode="External"/><Relationship Id="rId128" Type="http://schemas.openxmlformats.org/officeDocument/2006/relationships/hyperlink" Target="https://www.sec.gov/Archives/edgar/data/1789940/000119312521266418/d177756dex41.htm" TargetMode="External"/><Relationship Id="rId129" Type="http://schemas.openxmlformats.org/officeDocument/2006/relationships/hyperlink" Target="https://www.sec.gov/Archives/edgar/data/1789940/000178994022000012/firstwatch-registrationr.htm" TargetMode="External"/><Relationship Id="rId130" Type="http://schemas.openxmlformats.org/officeDocument/2006/relationships/hyperlink" Target="https://www.sec.gov/Archives/edgar/data/1789940/000178994022000012/exhibit43descriptionofcapi.htm" TargetMode="External"/><Relationship Id="rId131" Type="http://schemas.openxmlformats.org/officeDocument/2006/relationships/hyperlink" Target="https://www.sec.gov/Archives/edgar/data/1789940/000119312521293207/d212487dex101.htm" TargetMode="External"/><Relationship Id="rId132" Type="http://schemas.openxmlformats.org/officeDocument/2006/relationships/hyperlink" Target="https://www.sec.gov/Archives/edgar/data/1789940/000178994023000011/a102-amendmentno1tocredita.htm" TargetMode="External"/><Relationship Id="rId133" Type="http://schemas.openxmlformats.org/officeDocument/2006/relationships/hyperlink" Target="https://www.sec.gov/Archives/edgar/data/1789940/000178994024000003/exhibit101amendmentno2tocr.htm" TargetMode="External"/><Relationship Id="rId134" Type="http://schemas.openxmlformats.org/officeDocument/2006/relationships/hyperlink" Target="https://www.sec.gov/Archives/edgar/data/1789940/000178994022000005/exh101-tomassoemploymentag.htm" TargetMode="External"/><Relationship Id="rId135" Type="http://schemas.openxmlformats.org/officeDocument/2006/relationships/hyperlink" Target="https://www.sec.gov/Archives/edgar/data/1789940/000119312521266418/d177756dex104.htm" TargetMode="External"/><Relationship Id="rId136" Type="http://schemas.openxmlformats.org/officeDocument/2006/relationships/hyperlink" Target="https://www.sec.gov/Archives/edgar/data/1789940/000119312521266418/d177756dex108.htm" TargetMode="External"/><Relationship Id="rId137" Type="http://schemas.openxmlformats.org/officeDocument/2006/relationships/hyperlink" Target="https://www.sec.gov/Archives/edgar/data/1789940/000178994022000012/firstwatchofferletter-ho.htm" TargetMode="External"/><Relationship Id="rId139" Type="http://schemas.openxmlformats.org/officeDocument/2006/relationships/hyperlink" Target="https://www.sec.gov/Archives/edgar/data/1789940/000119312521266418/d177756dex103.htm" TargetMode="External"/><Relationship Id="rId140" Type="http://schemas.openxmlformats.org/officeDocument/2006/relationships/hyperlink" Target="https://www.sec.gov/Archives/edgar/data/1789940/000178994022000012/exhibit109firstwatch-202.htm" TargetMode="External"/><Relationship Id="rId141" Type="http://schemas.openxmlformats.org/officeDocument/2006/relationships/hyperlink" Target="https://www.sec.gov/Archives/edgar/data/1789940/000178994022000012/a1010optionawardagreement.htm" TargetMode="External"/><Relationship Id="rId142" Type="http://schemas.openxmlformats.org/officeDocument/2006/relationships/hyperlink" Target="https://www.sec.gov/Archives/edgar/data/1789940/000178994023000011/formofemployeersuawardagre.htm" TargetMode="External"/><Relationship Id="rId143" Type="http://schemas.openxmlformats.org/officeDocument/2006/relationships/hyperlink" Target="https://www.sec.gov/Archives/edgar/data/1789940/000178994024000012/exhibit1012-formofemployee.htm" TargetMode="External"/><Relationship Id="rId144" Type="http://schemas.openxmlformats.org/officeDocument/2006/relationships/hyperlink" Target="https://www.sec.gov/Archives/edgar/data/1789940/000178994024000012/exhibit1013-formofemployee.htm" TargetMode="External"/><Relationship Id="rId145" Type="http://schemas.openxmlformats.org/officeDocument/2006/relationships/hyperlink" Target="https://www.sec.gov/Archives/edgar/data/1789940/000119312521266418/d177756dex107.htm" TargetMode="External"/><Relationship Id="rId146" Type="http://schemas.openxmlformats.org/officeDocument/2006/relationships/hyperlink" Target="https://www.sec.gov/Archives/edgar/data/1789940/000178994023000011/form2022directorrsuawardag.htm" TargetMode="External"/><Relationship Id="rId147" Type="http://schemas.openxmlformats.org/officeDocument/2006/relationships/hyperlink" Target="https://www.sec.gov/Archives/edgar/data/1789940/000178994024000003/exhibit21-assetpurchaseagr.htm" TargetMode="External"/><Relationship Id="rId148" Type="http://schemas.openxmlformats.org/officeDocument/2006/relationships/hyperlink" Target="https://www.sec.gov/Archives/edgar/data/1789940/000178994024000148/exhibit21assetpurchaseag.htm" TargetMode="External"/><Relationship Id="rId149" Type="http://schemas.openxmlformats.org/officeDocument/2006/relationships/hyperlink" Target="https://www.sec.gov/Archives/edgar/data/1789940/000178994024000012/exhibit971incentive-based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2025-03-11T06:16:32Z</dcterms:created>
  <dcterms:modified xsi:type="dcterms:W3CDTF">2025-03-11T06:16:32Z</dcterms:modified>
</cp:coreProperties>
</file>